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3B5" w:rsidRPr="00612CEC" w:rsidRDefault="00DA53B5" w:rsidP="00DA53B5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>ПАСПОРТ</w:t>
      </w:r>
    </w:p>
    <w:p w:rsidR="00DA53B5" w:rsidRPr="00612CEC" w:rsidRDefault="00DA53B5" w:rsidP="00DA53B5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 xml:space="preserve">ГОСУДАРСТВЕННОЙ ПРОГРАММЫ ЛЕНИНГРАДСКОЙ ОБЛАСТИ </w:t>
      </w:r>
    </w:p>
    <w:p w:rsidR="00DA53B5" w:rsidRPr="00612CEC" w:rsidRDefault="00DA53B5" w:rsidP="00DA53B5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>ОТ 14 НОЯБРЯ 2013 Г. N 404</w:t>
      </w:r>
    </w:p>
    <w:p w:rsidR="00DA53B5" w:rsidRPr="00612CEC" w:rsidRDefault="00DA53B5" w:rsidP="00DA53B5">
      <w:pPr>
        <w:jc w:val="center"/>
        <w:rPr>
          <w:sz w:val="24"/>
          <w:szCs w:val="24"/>
        </w:rPr>
      </w:pPr>
      <w:r w:rsidRPr="00612CEC">
        <w:rPr>
          <w:sz w:val="24"/>
          <w:szCs w:val="24"/>
        </w:rPr>
        <w:t>"РАЗВИТИЕ КУЛЬТУРЫ В ЛЕНИНГРАДСКОЙ ОБЛАСТИ"</w:t>
      </w:r>
    </w:p>
    <w:p w:rsidR="00DA53B5" w:rsidRPr="00612CEC" w:rsidRDefault="00DA53B5" w:rsidP="00DA53B5">
      <w:pPr>
        <w:rPr>
          <w:sz w:val="24"/>
          <w:szCs w:val="24"/>
        </w:rPr>
      </w:pPr>
    </w:p>
    <w:tbl>
      <w:tblPr>
        <w:tblW w:w="0" w:type="auto"/>
        <w:tblInd w:w="102" w:type="dxa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769"/>
        <w:gridCol w:w="7498"/>
      </w:tblGrid>
      <w:tr w:rsidR="00DA53B5" w:rsidRPr="00612CEC" w:rsidTr="007709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Полное 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Государственная программа Ленинградской области "Развитие культуры в Ленинградской области"</w:t>
            </w:r>
          </w:p>
        </w:tc>
      </w:tr>
      <w:tr w:rsidR="00DA53B5" w:rsidRPr="00612CEC" w:rsidTr="007709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Комитет по культуре Ленинградской области</w:t>
            </w:r>
          </w:p>
        </w:tc>
      </w:tr>
      <w:tr w:rsidR="00DA53B5" w:rsidRPr="00612CEC" w:rsidTr="007709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отсутствуют</w:t>
            </w:r>
          </w:p>
        </w:tc>
      </w:tr>
      <w:tr w:rsidR="00DA53B5" w:rsidRPr="00612CEC" w:rsidTr="007709C5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Комитет по культуре Ленинградской области;</w:t>
            </w:r>
          </w:p>
        </w:tc>
      </w:tr>
      <w:tr w:rsidR="00DA53B5" w:rsidRPr="00612CEC" w:rsidTr="007709C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Управление делами Правительства Ленинградской области;</w:t>
            </w:r>
          </w:p>
        </w:tc>
      </w:tr>
      <w:tr w:rsidR="00DA53B5" w:rsidRPr="00612CEC" w:rsidTr="007709C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Подведомственные учреждения, курируемые комитетом по культуре Ленинградской области и администрации муниципальных образований Ленинградской области</w:t>
            </w:r>
          </w:p>
        </w:tc>
      </w:tr>
      <w:tr w:rsidR="00DA53B5" w:rsidRPr="00612CEC" w:rsidTr="007709C5">
        <w:trPr>
          <w:trHeight w:val="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"</w:t>
            </w:r>
            <w:hyperlink r:id="rId5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Развитие</w:t>
              </w:r>
            </w:hyperlink>
            <w:r w:rsidRPr="00612CEC">
              <w:rPr>
                <w:sz w:val="24"/>
                <w:szCs w:val="24"/>
              </w:rPr>
              <w:t xml:space="preserve"> профессионального искусства в Ленинградской области";</w:t>
            </w:r>
          </w:p>
        </w:tc>
      </w:tr>
      <w:tr w:rsidR="00DA53B5" w:rsidRPr="00612CEC" w:rsidTr="007709C5">
        <w:trPr>
          <w:trHeight w:val="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"</w:t>
            </w:r>
            <w:hyperlink r:id="rId6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Сохранение</w:t>
              </w:r>
            </w:hyperlink>
            <w:r w:rsidRPr="00612CEC">
              <w:rPr>
                <w:sz w:val="24"/>
                <w:szCs w:val="24"/>
              </w:rPr>
              <w:t xml:space="preserve"> и охрана культурного и исторического наследия в Ленинградской области";</w:t>
            </w:r>
          </w:p>
        </w:tc>
      </w:tr>
      <w:tr w:rsidR="00DA53B5" w:rsidRPr="00612CEC" w:rsidTr="007709C5">
        <w:trPr>
          <w:trHeight w:val="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"</w:t>
            </w:r>
            <w:hyperlink r:id="rId7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Обеспечение</w:t>
              </w:r>
            </w:hyperlink>
            <w:r w:rsidRPr="00612CEC">
              <w:rPr>
                <w:sz w:val="24"/>
                <w:szCs w:val="24"/>
              </w:rPr>
              <w:t xml:space="preserve"> доступа жителей Ленинградской области к культурным ценностям";</w:t>
            </w:r>
          </w:p>
        </w:tc>
      </w:tr>
      <w:tr w:rsidR="00DA53B5" w:rsidRPr="00612CEC" w:rsidTr="007709C5">
        <w:trPr>
          <w:trHeight w:val="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"</w:t>
            </w:r>
            <w:hyperlink r:id="rId8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Сохранение</w:t>
              </w:r>
            </w:hyperlink>
            <w:r w:rsidRPr="00612CEC">
              <w:rPr>
                <w:sz w:val="24"/>
                <w:szCs w:val="24"/>
              </w:rPr>
              <w:t xml:space="preserve"> и развитие народной культуры и самодеятельного творчества";</w:t>
            </w:r>
          </w:p>
        </w:tc>
      </w:tr>
      <w:tr w:rsidR="00DA53B5" w:rsidRPr="00612CEC" w:rsidTr="007709C5">
        <w:trPr>
          <w:trHeight w:val="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"</w:t>
            </w:r>
            <w:hyperlink r:id="rId9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Обеспечение</w:t>
              </w:r>
            </w:hyperlink>
            <w:r w:rsidRPr="00612CEC">
              <w:rPr>
                <w:sz w:val="24"/>
                <w:szCs w:val="24"/>
              </w:rPr>
              <w:t xml:space="preserve"> условий реализации государственной программы"</w:t>
            </w:r>
          </w:p>
        </w:tc>
      </w:tr>
      <w:tr w:rsidR="00DA53B5" w:rsidRPr="00612CEC" w:rsidTr="007709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Программно-целевые инструменты государственной программы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Не предусмотрены</w:t>
            </w:r>
          </w:p>
        </w:tc>
      </w:tr>
      <w:tr w:rsidR="00DA53B5" w:rsidRPr="00612CEC" w:rsidTr="007709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Цели государственной программы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Создание условий для реализации стратегической роли культуры как духовно-нравственного основания развития личности, ресурса роста человеческого потенциала региона, фактора обеспечения социальной стабильности и консолидации общества</w:t>
            </w:r>
          </w:p>
        </w:tc>
      </w:tr>
      <w:tr w:rsidR="00DA53B5" w:rsidRPr="00612CEC" w:rsidTr="007709C5">
        <w:trPr>
          <w:trHeight w:val="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 региона;</w:t>
            </w:r>
          </w:p>
        </w:tc>
      </w:tr>
      <w:tr w:rsidR="00DA53B5" w:rsidRPr="00612CEC" w:rsidTr="007709C5">
        <w:trPr>
          <w:trHeight w:val="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создание благоприятных условий для устойчивого развития сферы культуры</w:t>
            </w:r>
          </w:p>
        </w:tc>
      </w:tr>
      <w:tr w:rsidR="00DA53B5" w:rsidRPr="00612CEC" w:rsidTr="007709C5">
        <w:trPr>
          <w:trHeight w:val="49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Целевые индикаторы и показатели </w:t>
            </w:r>
            <w:r w:rsidRPr="00612CEC">
              <w:rPr>
                <w:sz w:val="24"/>
                <w:szCs w:val="24"/>
              </w:rPr>
              <w:lastRenderedPageBreak/>
              <w:t>государственной программы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lastRenderedPageBreak/>
              <w:t>- увеличение количества посещений театрально-концертных мероприятий</w:t>
            </w:r>
            <w:proofErr w:type="gramStart"/>
            <w:r w:rsidRPr="00612CEC">
              <w:rPr>
                <w:sz w:val="24"/>
                <w:szCs w:val="24"/>
              </w:rPr>
              <w:t>, %;</w:t>
            </w:r>
            <w:proofErr w:type="gramEnd"/>
          </w:p>
        </w:tc>
      </w:tr>
      <w:tr w:rsidR="00DA53B5" w:rsidRPr="00612CEC" w:rsidTr="007709C5">
        <w:trPr>
          <w:trHeight w:val="67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доля объектов культурного наследия, находящихся в удовлетворительном состоянии, в общем количестве объектов культурного наследия регионального значения</w:t>
            </w:r>
            <w:proofErr w:type="gramStart"/>
            <w:r w:rsidRPr="00612CEC">
              <w:rPr>
                <w:sz w:val="24"/>
                <w:szCs w:val="24"/>
              </w:rPr>
              <w:t>, %;</w:t>
            </w:r>
            <w:proofErr w:type="gramEnd"/>
          </w:p>
        </w:tc>
      </w:tr>
      <w:tr w:rsidR="00DA53B5" w:rsidRPr="00612CEC" w:rsidTr="007709C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доля объектов культурного наследия, информация о которых внесена в электронную базу данных единого государственного реестра объектов культурного наследия Ленинградской области, в общем количестве объектов культурного наследия Ленинградской области</w:t>
            </w:r>
            <w:proofErr w:type="gramStart"/>
            <w:r w:rsidRPr="00612CEC">
              <w:rPr>
                <w:sz w:val="24"/>
                <w:szCs w:val="24"/>
              </w:rPr>
              <w:t>, %;</w:t>
            </w:r>
            <w:proofErr w:type="gramEnd"/>
          </w:p>
        </w:tc>
      </w:tr>
      <w:tr w:rsidR="00DA53B5" w:rsidRPr="00612CEC" w:rsidTr="007709C5">
        <w:trPr>
          <w:trHeight w:val="50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увеличение количества посещений музеев по сравнению с предыдущим годом</w:t>
            </w:r>
            <w:proofErr w:type="gramStart"/>
            <w:r w:rsidRPr="00612CEC">
              <w:rPr>
                <w:sz w:val="24"/>
                <w:szCs w:val="24"/>
              </w:rPr>
              <w:t>, %;</w:t>
            </w:r>
            <w:proofErr w:type="gramEnd"/>
          </w:p>
        </w:tc>
      </w:tr>
      <w:tr w:rsidR="00DA53B5" w:rsidRPr="00612CEC" w:rsidTr="007709C5">
        <w:trPr>
          <w:trHeight w:val="89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увеличение количества библиографических записей в сводном электронном каталоге библиотек Ленинградской области, в том числе включенных в сводный электронный каталог библиотек России (по сравнению с предыдущим годом), тыс. ед.;</w:t>
            </w:r>
          </w:p>
        </w:tc>
      </w:tr>
      <w:tr w:rsidR="00DA53B5" w:rsidRPr="00612CEC" w:rsidTr="007709C5">
        <w:trPr>
          <w:trHeight w:val="342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количество виртуальных музеев, ед.;</w:t>
            </w:r>
          </w:p>
        </w:tc>
      </w:tr>
      <w:tr w:rsidR="00DA53B5" w:rsidRPr="00612CEC" w:rsidTr="007709C5">
        <w:trPr>
          <w:trHeight w:val="2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доля общедоступных библиотек, подключенных к сети "Интернет", в общем количестве библиотек Ленинградской области</w:t>
            </w:r>
            <w:proofErr w:type="gramStart"/>
            <w:r w:rsidRPr="00612CEC">
              <w:rPr>
                <w:sz w:val="24"/>
                <w:szCs w:val="24"/>
              </w:rPr>
              <w:t>, %;</w:t>
            </w:r>
            <w:proofErr w:type="gramEnd"/>
          </w:p>
        </w:tc>
      </w:tr>
      <w:tr w:rsidR="00DA53B5" w:rsidRPr="00612CEC" w:rsidTr="007709C5">
        <w:trPr>
          <w:trHeight w:val="2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доля музеев, имеющих сайт в сети "Интернет", в общем количестве музеев Ленинградской области</w:t>
            </w:r>
            <w:proofErr w:type="gramStart"/>
            <w:r w:rsidRPr="00612CEC">
              <w:rPr>
                <w:sz w:val="24"/>
                <w:szCs w:val="24"/>
              </w:rPr>
              <w:t>, %;</w:t>
            </w:r>
            <w:proofErr w:type="gramEnd"/>
          </w:p>
        </w:tc>
      </w:tr>
      <w:tr w:rsidR="00DA53B5" w:rsidRPr="00612CEC" w:rsidTr="007709C5">
        <w:trPr>
          <w:trHeight w:val="2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доля театров, имеющих сайт в сети "Интернет", в общем количестве театров Ленинградской области</w:t>
            </w:r>
            <w:proofErr w:type="gramStart"/>
            <w:r w:rsidRPr="00612CEC">
              <w:rPr>
                <w:sz w:val="24"/>
                <w:szCs w:val="24"/>
              </w:rPr>
              <w:t>, %;</w:t>
            </w:r>
            <w:proofErr w:type="gramEnd"/>
          </w:p>
        </w:tc>
      </w:tr>
      <w:tr w:rsidR="00DA53B5" w:rsidRPr="00612CEC" w:rsidTr="007709C5">
        <w:trPr>
          <w:trHeight w:val="223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доля культурно-досуговых учреждений, имеющих сайт в сети "Интернет", в общем количестве культурно-досуговых учреждений Ленинградской области</w:t>
            </w:r>
            <w:proofErr w:type="gramStart"/>
            <w:r w:rsidRPr="00612CEC">
              <w:rPr>
                <w:sz w:val="24"/>
                <w:szCs w:val="24"/>
              </w:rPr>
              <w:t>, %;</w:t>
            </w:r>
            <w:proofErr w:type="gramEnd"/>
          </w:p>
        </w:tc>
      </w:tr>
      <w:tr w:rsidR="00DA53B5" w:rsidRPr="00612CEC" w:rsidTr="007709C5">
        <w:trPr>
          <w:trHeight w:val="2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объем премиального фонда конкурсов в сфере культуры и искусства ежегодно, тыс. руб.;</w:t>
            </w:r>
          </w:p>
        </w:tc>
      </w:tr>
      <w:tr w:rsidR="00DA53B5" w:rsidRPr="00612CEC" w:rsidTr="007709C5">
        <w:trPr>
          <w:trHeight w:val="2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объемы ежегодной государственной поддержки декоративно-прикладного искусства и народных художественных промыслов, тыс. руб.;</w:t>
            </w:r>
          </w:p>
        </w:tc>
      </w:tr>
      <w:tr w:rsidR="00DA53B5" w:rsidRPr="00612CEC" w:rsidTr="007709C5">
        <w:trPr>
          <w:trHeight w:val="25"/>
        </w:trPr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количество выставочных проектов, реализуемых в Ленинградской области (по отношению к 2012 году</w:t>
            </w:r>
            <w:proofErr w:type="gramStart"/>
            <w:r w:rsidRPr="00612CEC">
              <w:rPr>
                <w:sz w:val="24"/>
                <w:szCs w:val="24"/>
              </w:rPr>
              <w:t>), %;</w:t>
            </w:r>
            <w:proofErr w:type="gramEnd"/>
          </w:p>
        </w:tc>
      </w:tr>
      <w:tr w:rsidR="00DA53B5" w:rsidRPr="00612CEC" w:rsidTr="007709C5">
        <w:trPr>
          <w:trHeight w:val="2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удовлетворенность населения качеством услуг, оказываемых учреждениями культуры и искусства;</w:t>
            </w:r>
          </w:p>
        </w:tc>
      </w:tr>
      <w:tr w:rsidR="00DA53B5" w:rsidRPr="00612CEC" w:rsidTr="007709C5">
        <w:trPr>
          <w:trHeight w:val="2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соотношение средней заработной платы работников учреждений культуры Ленинградской области к средней заработной плате по Ленинградской области, %</w:t>
            </w:r>
          </w:p>
        </w:tc>
      </w:tr>
      <w:tr w:rsidR="00DA53B5" w:rsidRPr="00612CEC" w:rsidTr="007709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Этапы и сроки реализации государственной программы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Один этап, 2014-2016 годы</w:t>
            </w:r>
          </w:p>
        </w:tc>
      </w:tr>
      <w:tr w:rsidR="00DA53B5" w:rsidRPr="00612CEC" w:rsidTr="007709C5">
        <w:trPr>
          <w:trHeight w:val="6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 xml:space="preserve">Объем бюджетных ассигнований </w:t>
            </w:r>
            <w:r w:rsidRPr="00612CEC">
              <w:rPr>
                <w:sz w:val="24"/>
                <w:szCs w:val="24"/>
              </w:rPr>
              <w:lastRenderedPageBreak/>
              <w:t>государственной программы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lastRenderedPageBreak/>
              <w:t>Общий объем ресурсного обеспечения реализации Государственной программы составляет 4480288,46 тыс. рублей, в том числе:</w:t>
            </w:r>
          </w:p>
        </w:tc>
      </w:tr>
      <w:tr w:rsidR="00DA53B5" w:rsidRPr="00612CEC" w:rsidTr="007709C5">
        <w:trPr>
          <w:trHeight w:val="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hyperlink r:id="rId10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</w:t>
              </w:r>
            </w:hyperlink>
            <w:r w:rsidRPr="00612CEC">
              <w:rPr>
                <w:sz w:val="24"/>
                <w:szCs w:val="24"/>
              </w:rPr>
              <w:t xml:space="preserve"> "Развитие профессионального искусства" - 774005 тыс. рублей;</w:t>
            </w:r>
          </w:p>
        </w:tc>
      </w:tr>
      <w:tr w:rsidR="00DA53B5" w:rsidRPr="00612CEC" w:rsidTr="007709C5">
        <w:trPr>
          <w:trHeight w:val="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hyperlink r:id="rId11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</w:t>
              </w:r>
            </w:hyperlink>
            <w:r w:rsidRPr="00612CEC">
              <w:rPr>
                <w:sz w:val="24"/>
                <w:szCs w:val="24"/>
              </w:rPr>
              <w:t xml:space="preserve"> "Сохранение и охрана культурного и исторического наследия" - 809832,8 тыс. рублей;</w:t>
            </w:r>
          </w:p>
        </w:tc>
      </w:tr>
      <w:tr w:rsidR="00DA53B5" w:rsidRPr="00612CEC" w:rsidTr="007709C5">
        <w:trPr>
          <w:trHeight w:val="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hyperlink r:id="rId12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</w:t>
              </w:r>
            </w:hyperlink>
            <w:r w:rsidRPr="00612CEC">
              <w:rPr>
                <w:sz w:val="24"/>
                <w:szCs w:val="24"/>
              </w:rPr>
              <w:t xml:space="preserve"> "Обеспечение доступа жителей Ленинградской области к культурным ценностям" - 955093 тыс. рублей;</w:t>
            </w:r>
          </w:p>
        </w:tc>
      </w:tr>
      <w:tr w:rsidR="00DA53B5" w:rsidRPr="00612CEC" w:rsidTr="007709C5">
        <w:trPr>
          <w:trHeight w:val="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hyperlink r:id="rId13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</w:t>
              </w:r>
            </w:hyperlink>
            <w:r w:rsidRPr="00612CEC">
              <w:rPr>
                <w:sz w:val="24"/>
                <w:szCs w:val="24"/>
              </w:rPr>
              <w:t xml:space="preserve"> "Сохранение и развитие народной культуры и самодеятельного творчества" - 95480,9 тыс. рублей;</w:t>
            </w:r>
          </w:p>
        </w:tc>
      </w:tr>
      <w:tr w:rsidR="00DA53B5" w:rsidRPr="00612CEC" w:rsidTr="007709C5">
        <w:trPr>
          <w:trHeight w:val="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hyperlink r:id="rId14" w:history="1">
              <w:r w:rsidRPr="00612CEC">
                <w:rPr>
                  <w:rStyle w:val="a3"/>
                  <w:color w:val="auto"/>
                  <w:sz w:val="24"/>
                  <w:szCs w:val="24"/>
                  <w:u w:val="none"/>
                </w:rPr>
                <w:t>подпрограмма</w:t>
              </w:r>
            </w:hyperlink>
            <w:r w:rsidRPr="00612CEC">
              <w:rPr>
                <w:sz w:val="24"/>
                <w:szCs w:val="24"/>
              </w:rPr>
              <w:t xml:space="preserve"> "Обеспечение условий реализации Программы" - 1845876,76 тыс. рублей.</w:t>
            </w:r>
          </w:p>
        </w:tc>
      </w:tr>
      <w:tr w:rsidR="00DA53B5" w:rsidRPr="00612CEC" w:rsidTr="007709C5">
        <w:trPr>
          <w:trHeight w:val="25"/>
        </w:trPr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Объем ресурсного обеспечения реализации Государственной программы за счет средств областного бюджета Ленинградской области составит 4136760,16 тыс. рублей,</w:t>
            </w:r>
          </w:p>
        </w:tc>
      </w:tr>
      <w:tr w:rsidR="00DA53B5" w:rsidRPr="00612CEC" w:rsidTr="007709C5">
        <w:trPr>
          <w:trHeight w:val="2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 том числе:</w:t>
            </w:r>
          </w:p>
        </w:tc>
      </w:tr>
      <w:tr w:rsidR="00DA53B5" w:rsidRPr="00612CEC" w:rsidTr="007709C5">
        <w:trPr>
          <w:trHeight w:val="2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2014 год - 1350287,06 тыс. рублей,</w:t>
            </w:r>
          </w:p>
        </w:tc>
      </w:tr>
      <w:tr w:rsidR="00DA53B5" w:rsidRPr="00612CEC" w:rsidTr="007709C5">
        <w:trPr>
          <w:trHeight w:val="2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2015 год - 1379538,6 тыс. рублей,</w:t>
            </w:r>
          </w:p>
        </w:tc>
      </w:tr>
      <w:tr w:rsidR="00DA53B5" w:rsidRPr="00612CEC" w:rsidTr="007709C5">
        <w:trPr>
          <w:trHeight w:val="2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2016 год - 1406934,5 тыс. рублей.</w:t>
            </w:r>
          </w:p>
        </w:tc>
      </w:tr>
      <w:tr w:rsidR="00DA53B5" w:rsidRPr="00612CEC" w:rsidTr="007709C5">
        <w:trPr>
          <w:trHeight w:val="2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Финансирование программы из бюджетов муниципальных образований составит - 343528,3 тыс. рублей,</w:t>
            </w:r>
          </w:p>
        </w:tc>
      </w:tr>
      <w:tr w:rsidR="00DA53B5" w:rsidRPr="00612CEC" w:rsidTr="007709C5">
        <w:trPr>
          <w:trHeight w:val="2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в том числе:</w:t>
            </w:r>
          </w:p>
        </w:tc>
      </w:tr>
      <w:tr w:rsidR="00DA53B5" w:rsidRPr="00612CEC" w:rsidTr="007709C5">
        <w:trPr>
          <w:trHeight w:val="2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2014 год - 114755,9 тыс. рублей,</w:t>
            </w:r>
          </w:p>
        </w:tc>
      </w:tr>
      <w:tr w:rsidR="00DA53B5" w:rsidRPr="00612CEC" w:rsidTr="007709C5">
        <w:trPr>
          <w:trHeight w:val="2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2015 год - 114419,8 тыс. рублей,</w:t>
            </w:r>
          </w:p>
        </w:tc>
      </w:tr>
      <w:tr w:rsidR="00DA53B5" w:rsidRPr="00612CEC" w:rsidTr="007709C5">
        <w:trPr>
          <w:trHeight w:val="311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2016 год - 114352,6 тыс. рублей</w:t>
            </w:r>
          </w:p>
        </w:tc>
      </w:tr>
      <w:tr w:rsidR="00DA53B5" w:rsidRPr="00612CEC" w:rsidTr="007709C5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Ожидаемые результаты реализации государственной программы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Укрепление единого культурного пространства Ленинградской области как одного из центров российской культуры и духовности согласно увеличению уровня удовлетворенности населения качеством услуг, оказываемых учреждениями культуры и искусства;</w:t>
            </w:r>
          </w:p>
        </w:tc>
      </w:tr>
      <w:tr w:rsidR="00DA53B5" w:rsidRPr="00612CEC" w:rsidTr="007709C5">
        <w:trPr>
          <w:trHeight w:val="20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proofErr w:type="gramStart"/>
            <w:r w:rsidRPr="00612CEC">
              <w:rPr>
                <w:sz w:val="24"/>
                <w:szCs w:val="24"/>
              </w:rPr>
              <w:t>- выравнивание уровня доступности культурных благ и художественного образования независимо от размера доходов, места проживания и социального статуса жителей Ленинградской области, индикатор: объемы ежегодной государственной поддержки декоративно-прикладного искусства и народных художественных промыслов до 1350 тыс. руб. к 2016 году и поддержка творческих проектов в области культуры и искусства до 22660 тыс. руб. к 2016 году и увеличение количества выставочных проектов, реализуемых</w:t>
            </w:r>
            <w:proofErr w:type="gramEnd"/>
            <w:r w:rsidRPr="00612CEC">
              <w:rPr>
                <w:sz w:val="24"/>
                <w:szCs w:val="24"/>
              </w:rPr>
              <w:t xml:space="preserve"> в Ленинградской области (по отношению к 2012 году), на 50% к 2016 году;</w:t>
            </w:r>
          </w:p>
        </w:tc>
      </w:tr>
      <w:tr w:rsidR="00DA53B5" w:rsidRPr="00612CEC" w:rsidTr="007709C5">
        <w:trPr>
          <w:trHeight w:val="2486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proofErr w:type="gramStart"/>
            <w:r w:rsidRPr="00612CEC">
              <w:rPr>
                <w:sz w:val="24"/>
                <w:szCs w:val="24"/>
              </w:rPr>
              <w:t>- создание условий для доступности участия всего населения в культурной жизни, создание благоприятных условий для улучшения культурно-досугового обслуживания населения, развития самодеятельного художественного творчества, создание условий для творческой самореализации граждан, культурно-просветительской деятельности, организации внешкольного художественного образования и культурного досуга, индикатор: доля детей, привлекаемых к участию в творческих мероприятиях, к 2016 году составит 6% в общем числе детей Ленинградской области;</w:t>
            </w:r>
            <w:proofErr w:type="gramEnd"/>
          </w:p>
        </w:tc>
      </w:tr>
      <w:tr w:rsidR="00DA53B5" w:rsidRPr="00612CEC" w:rsidTr="007709C5">
        <w:trPr>
          <w:trHeight w:val="55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увеличение доли объектов культурного наследия, находящихся в хорошем и удовлетворительном состоянии, индикатор: доля объектов культурного наследия, находящихся в удовлетворительном состоянии, в общем количестве объектов культурного наследия регионального значения будет составлять к 2016 году 63,5%;</w:t>
            </w:r>
          </w:p>
        </w:tc>
      </w:tr>
      <w:tr w:rsidR="00DA53B5" w:rsidRPr="00612CEC" w:rsidTr="007709C5">
        <w:trPr>
          <w:trHeight w:val="421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увеличение доли объектов культурного наследия, зарегистрированных в Едином государственном реестре объектов культурного наследия, индикатор: доля объектов культурного наследия, информация о которых внесена в электронную базу данных Единого государственного реестра объектов культурного наследия Ленинградской области, в общем количестве объектов культурного наследия Ленинградской области к 2016 году составит 4%;</w:t>
            </w:r>
          </w:p>
        </w:tc>
      </w:tr>
      <w:tr w:rsidR="00DA53B5" w:rsidRPr="00612CEC" w:rsidTr="007709C5">
        <w:trPr>
          <w:trHeight w:val="2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повышение удовлетворенности населения качеством услуг, оказываемых учреждениями культуры и искусства;</w:t>
            </w:r>
          </w:p>
        </w:tc>
      </w:tr>
      <w:tr w:rsidR="00DA53B5" w:rsidRPr="00612CEC" w:rsidTr="007709C5">
        <w:trPr>
          <w:trHeight w:val="135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формирование культурной среды, отвечающей растущим потребностям личности и общества, повышение качества, разнообразия и эффективности услуг в сферах культуры путем увеличения количества посещений театрально-концертных мероприятий к концу 2016 года на 2%, увеличение количества посещений музеев по сравнению с предыдущим годом на 0,1% ежегодно;</w:t>
            </w:r>
          </w:p>
        </w:tc>
      </w:tr>
      <w:tr w:rsidR="00DA53B5" w:rsidRPr="00612CEC" w:rsidTr="007709C5">
        <w:trPr>
          <w:trHeight w:val="3340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proofErr w:type="gramStart"/>
            <w:r w:rsidRPr="00612CEC">
              <w:rPr>
                <w:sz w:val="24"/>
                <w:szCs w:val="24"/>
              </w:rPr>
              <w:t>- формирование имиджа отрасли как наиболее привлекательной сферы деятельности, в том числе через широкое внедрение информационных технологий, увеличение количества библиографических записей в сводном электронном каталоге библиотек Ленинградской области, в том числе включенных в сводный электронный каталог библиотек России (по сравнению с предыдущим годом), на 10 тыс. ед. ежегодно, создание 4 виртуальных музеев, увеличение доли общедоступных библиотек, подключенных к сети "Интернет", в</w:t>
            </w:r>
            <w:proofErr w:type="gramEnd"/>
            <w:r w:rsidRPr="00612CEC">
              <w:rPr>
                <w:sz w:val="24"/>
                <w:szCs w:val="24"/>
              </w:rPr>
              <w:t xml:space="preserve"> </w:t>
            </w:r>
            <w:proofErr w:type="gramStart"/>
            <w:r w:rsidRPr="00612CEC">
              <w:rPr>
                <w:sz w:val="24"/>
                <w:szCs w:val="24"/>
              </w:rPr>
              <w:t>общем количестве библиотек Ленинградской области до 89% в 2016 году, увеличение доли музеев, имеющих сайт в сети "Интернет", в общем количестве музеев Ленинградской области до 70% в 2016 году, увеличение доли театров, имеющих сайт в сети "Интернет", в общем количестве театров Ленинградской области до 70% в 2016 году и увеличение доли культурно-досуговых учреждений, имеющих сайт в сети "Интернет", в общем</w:t>
            </w:r>
            <w:proofErr w:type="gramEnd"/>
            <w:r w:rsidRPr="00612CEC">
              <w:rPr>
                <w:sz w:val="24"/>
                <w:szCs w:val="24"/>
              </w:rPr>
              <w:t xml:space="preserve"> </w:t>
            </w:r>
            <w:proofErr w:type="gramStart"/>
            <w:r w:rsidRPr="00612CEC">
              <w:rPr>
                <w:sz w:val="24"/>
                <w:szCs w:val="24"/>
              </w:rPr>
              <w:t>количестве</w:t>
            </w:r>
            <w:proofErr w:type="gramEnd"/>
            <w:r w:rsidRPr="00612CEC">
              <w:rPr>
                <w:sz w:val="24"/>
                <w:szCs w:val="24"/>
              </w:rPr>
              <w:t xml:space="preserve"> культурно-досуговых учреждений Ленинградской области до 40% в 2016 году;</w:t>
            </w:r>
          </w:p>
        </w:tc>
      </w:tr>
      <w:tr w:rsidR="00DA53B5" w:rsidRPr="00612CEC" w:rsidTr="007709C5">
        <w:trPr>
          <w:trHeight w:val="1072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A53B5" w:rsidRPr="00612CEC" w:rsidRDefault="00DA53B5" w:rsidP="007709C5">
            <w:pPr>
              <w:rPr>
                <w:sz w:val="24"/>
                <w:szCs w:val="24"/>
              </w:rPr>
            </w:pPr>
            <w:r w:rsidRPr="00612CEC">
              <w:rPr>
                <w:sz w:val="24"/>
                <w:szCs w:val="24"/>
              </w:rPr>
              <w:t>- укрепление социального статуса работников культуры, соотношение заработной платы работников учреждений культуры Ленинградской области по отношению к средней заработной плате по Ленинградской области к концу 2016 году будет составлять 90%, размер повышения заработной платы работникам муниципальных учреждений культуры в 2016 году составит 80% по отношению к 2013 году</w:t>
            </w:r>
          </w:p>
        </w:tc>
      </w:tr>
    </w:tbl>
    <w:p w:rsidR="00DA53B5" w:rsidRPr="00612CEC" w:rsidRDefault="00DA53B5" w:rsidP="00DA53B5">
      <w:pPr>
        <w:rPr>
          <w:sz w:val="24"/>
          <w:szCs w:val="24"/>
        </w:rPr>
      </w:pPr>
    </w:p>
    <w:p w:rsidR="00B22AB5" w:rsidRDefault="00B22AB5">
      <w:bookmarkStart w:id="0" w:name="_GoBack"/>
      <w:bookmarkEnd w:id="0"/>
    </w:p>
    <w:sectPr w:rsidR="00B22AB5" w:rsidSect="001F037D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7E"/>
    <w:rsid w:val="001F037D"/>
    <w:rsid w:val="003E057E"/>
    <w:rsid w:val="00B22AB5"/>
    <w:rsid w:val="00DA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3B5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53B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3B5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53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102E1E6280CD32725D78F07048C378A93C980A6FC8C8D9A0470CCBEC0CC695D4CA7A905FEA9E742H6i4F" TargetMode="External"/><Relationship Id="rId13" Type="http://schemas.openxmlformats.org/officeDocument/2006/relationships/hyperlink" Target="consultantplus://offline/ref=D102E1E6280CD32725D78F07048C378A93C980A6FC8C8D9A0470CCBEC0CC695D4CA7A905FEA9E742H6i4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102E1E6280CD32725D78F07048C378A93C980A6FC8C8D9A0470CCBEC0CC695D4CA7A905FEA9E945H6iDF" TargetMode="External"/><Relationship Id="rId12" Type="http://schemas.openxmlformats.org/officeDocument/2006/relationships/hyperlink" Target="consultantplus://offline/ref=D102E1E6280CD32725D78F07048C378A93C980A6FC8C8D9A0470CCBEC0CC695D4CA7A905FEA9E945H6iDF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102E1E6280CD32725D78F07048C378A93C980A6FC8C8D9A0470CCBEC0CC695D4CA7A905FEA9E843H6iDF" TargetMode="External"/><Relationship Id="rId11" Type="http://schemas.openxmlformats.org/officeDocument/2006/relationships/hyperlink" Target="consultantplus://offline/ref=D102E1E6280CD32725D78F07048C378A93C980A6FC8C8D9A0470CCBEC0CC695D4CA7A905FEA9E843H6iDF" TargetMode="External"/><Relationship Id="rId5" Type="http://schemas.openxmlformats.org/officeDocument/2006/relationships/hyperlink" Target="consultantplus://offline/ref=D102E1E6280CD32725D78F07048C378A93C980A6FC8C8D9A0470CCBEC0CC695D4CA7A905FEA9EA41H6iCF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102E1E6280CD32725D78F07048C378A93C980A6FC8C8D9A0470CCBEC0CC695D4CA7A905FEA9EA41H6iC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102E1E6280CD32725D78F07048C378A93C980A6FC8C8D9A0470CCBEC0CC695D4CA7A905FEA8EF42H6i1F" TargetMode="External"/><Relationship Id="rId14" Type="http://schemas.openxmlformats.org/officeDocument/2006/relationships/hyperlink" Target="consultantplus://offline/ref=D102E1E6280CD32725D78F07048C378A93C980A6FC8C8D9A0470CCBEC0CC695D4CA7A905FEA8EF42H6i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1510</Words>
  <Characters>8611</Characters>
  <Application>Microsoft Office Word</Application>
  <DocSecurity>0</DocSecurity>
  <Lines>71</Lines>
  <Paragraphs>20</Paragraphs>
  <ScaleCrop>false</ScaleCrop>
  <Company/>
  <LinksUpToDate>false</LinksUpToDate>
  <CharactersWithSpaces>10101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Васютина Ольга Валерьевна</dc:creator>
  <cp:keywords/>
  <dc:description/>
  <cp:lastModifiedBy>Васютина Ольга Валерьевна</cp:lastModifiedBy>
  <cp:revision>2</cp:revision>
  <dcterms:created xsi:type="dcterms:W3CDTF">2014-09-05T07:15:00Z</dcterms:created>
  <dcterms:modified xsi:type="dcterms:W3CDTF">2014-09-05T07:16:00Z</dcterms:modified>
</cp:coreProperties>
</file>