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681" w:rsidRPr="00612CEC" w:rsidRDefault="00946681" w:rsidP="00946681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>ПАСПОРТ</w:t>
      </w:r>
    </w:p>
    <w:p w:rsidR="00946681" w:rsidRPr="00612CEC" w:rsidRDefault="00946681" w:rsidP="00946681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 xml:space="preserve">ГОСУДАРСТВЕННОЙ ПРОГРАММЫ ЛЕНИНГРАДСКОЙ ОБЛАСТИ </w:t>
      </w:r>
    </w:p>
    <w:p w:rsidR="00946681" w:rsidRPr="00612CEC" w:rsidRDefault="00946681" w:rsidP="00946681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>ОТ 14 НОЯБРЯ 2013 Г. N 398</w:t>
      </w:r>
    </w:p>
    <w:p w:rsidR="00946681" w:rsidRPr="00612CEC" w:rsidRDefault="00946681" w:rsidP="00946681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>"СОВРЕМЕННОЕ ОБРАЗОВАНИЕ ЛЕНИНГРАДСКОЙ ОБЛАСТИ"</w:t>
      </w:r>
    </w:p>
    <w:p w:rsidR="00946681" w:rsidRPr="00612CEC" w:rsidRDefault="00946681" w:rsidP="00946681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>(ДАЛЕЕ - ПРОГРАММА)</w:t>
      </w:r>
    </w:p>
    <w:p w:rsidR="00946681" w:rsidRPr="00612CEC" w:rsidRDefault="00946681" w:rsidP="00946681">
      <w:pPr>
        <w:rPr>
          <w:sz w:val="24"/>
          <w:szCs w:val="24"/>
        </w:rPr>
      </w:pPr>
    </w:p>
    <w:tbl>
      <w:tblPr>
        <w:tblW w:w="5000" w:type="pct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623"/>
        <w:gridCol w:w="7746"/>
      </w:tblGrid>
      <w:tr w:rsidR="00946681" w:rsidRPr="00612CEC" w:rsidTr="007709C5"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3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Комитет общего и профессионального образования Ленинградской области</w:t>
            </w:r>
          </w:p>
        </w:tc>
      </w:tr>
      <w:tr w:rsidR="00946681" w:rsidRPr="00612CEC" w:rsidTr="007709C5"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Соисполнители Программы</w:t>
            </w:r>
          </w:p>
        </w:tc>
        <w:tc>
          <w:tcPr>
            <w:tcW w:w="3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Не предусмотрены</w:t>
            </w:r>
          </w:p>
        </w:tc>
      </w:tr>
      <w:tr w:rsidR="00946681" w:rsidRPr="00612CEC" w:rsidTr="007709C5"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37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комитет по строительству Ленинградской области;</w:t>
            </w:r>
          </w:p>
        </w:tc>
      </w:tr>
      <w:tr w:rsidR="00946681" w:rsidRPr="00612CEC" w:rsidTr="007709C5"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комитет по здравоохранению Ленинградской области;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комитет по культуре Ленинградской области;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комитет по социальной защите населения Ленинградской области;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комитет правопорядка и безопасности Ленинградской области;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комитет по молодежной политике Ленинградской области;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комитет по физической культуре, спорту и туризму Ленинградской области;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комитет финансов Ленинградской области;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комитет по телекоммуникациям и информатизации Ленинградской области;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комитет экономического развития Ленинградской области;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органы местного самоуправления Ленинградской области;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комитет по труду и занятости населения Ленинградской области;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образовательные и научно-исследовательские организации Ленинградской области</w:t>
            </w:r>
          </w:p>
        </w:tc>
      </w:tr>
      <w:tr w:rsidR="00946681" w:rsidRPr="00612CEC" w:rsidTr="007709C5"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Подпрограммы Программы</w:t>
            </w:r>
          </w:p>
        </w:tc>
        <w:tc>
          <w:tcPr>
            <w:tcW w:w="37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hyperlink r:id="rId5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 1</w:t>
              </w:r>
            </w:hyperlink>
            <w:r w:rsidRPr="00612CEC">
              <w:rPr>
                <w:sz w:val="24"/>
                <w:szCs w:val="24"/>
              </w:rPr>
              <w:t>. "Развитие дошкольного образования детей Ленинградской области";</w:t>
            </w:r>
          </w:p>
        </w:tc>
      </w:tr>
      <w:tr w:rsidR="00946681" w:rsidRPr="00612CEC" w:rsidTr="007709C5"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hyperlink r:id="rId6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 2</w:t>
              </w:r>
            </w:hyperlink>
            <w:r w:rsidRPr="00612CEC">
              <w:rPr>
                <w:sz w:val="24"/>
                <w:szCs w:val="24"/>
              </w:rPr>
              <w:t>. "Развитие начального общего, основного общего и среднего общего образования детей в Ленинградской области";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hyperlink r:id="rId7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 3</w:t>
              </w:r>
            </w:hyperlink>
            <w:r w:rsidRPr="00612CEC">
              <w:rPr>
                <w:sz w:val="24"/>
                <w:szCs w:val="24"/>
              </w:rPr>
              <w:t>. "Развитие дополнительного образования детей Ленинградской области";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hyperlink r:id="rId8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 4</w:t>
              </w:r>
            </w:hyperlink>
            <w:r w:rsidRPr="00612CEC">
              <w:rPr>
                <w:sz w:val="24"/>
                <w:szCs w:val="24"/>
              </w:rPr>
              <w:t>. "Реализация государственных гарантий для детей-сирот и детей, оставшихся без попечения родителей";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hyperlink r:id="rId9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 5</w:t>
              </w:r>
            </w:hyperlink>
            <w:r w:rsidRPr="00612CEC">
              <w:rPr>
                <w:sz w:val="24"/>
                <w:szCs w:val="24"/>
              </w:rPr>
              <w:t>. "Развитие кадрового потенциала социальной сферы";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hyperlink r:id="rId10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 6</w:t>
              </w:r>
            </w:hyperlink>
            <w:r w:rsidRPr="00612CEC">
              <w:rPr>
                <w:sz w:val="24"/>
                <w:szCs w:val="24"/>
              </w:rPr>
              <w:t>. "Развитие профессионального образования";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hyperlink r:id="rId11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 7</w:t>
              </w:r>
            </w:hyperlink>
            <w:r w:rsidRPr="00612CEC">
              <w:rPr>
                <w:sz w:val="24"/>
                <w:szCs w:val="24"/>
              </w:rPr>
              <w:t xml:space="preserve">. "Развитие системы отдыха, оздоровления, занятости детей, подростков и молодежи, в том числе детей, находящихся в </w:t>
            </w:r>
            <w:r w:rsidRPr="00612CEC">
              <w:rPr>
                <w:sz w:val="24"/>
                <w:szCs w:val="24"/>
              </w:rPr>
              <w:lastRenderedPageBreak/>
              <w:t>трудной жизненной ситуации";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hyperlink r:id="rId12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 8</w:t>
              </w:r>
            </w:hyperlink>
            <w:r w:rsidRPr="00612CEC">
              <w:rPr>
                <w:sz w:val="24"/>
                <w:szCs w:val="24"/>
              </w:rPr>
              <w:t>. "Развитие системы оценки качества образования и информационной прозрачности системы образования";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hyperlink r:id="rId13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 9</w:t>
              </w:r>
            </w:hyperlink>
            <w:r w:rsidRPr="00612CEC">
              <w:rPr>
                <w:sz w:val="24"/>
                <w:szCs w:val="24"/>
              </w:rPr>
              <w:t>. "Обеспечение реализации государственной программы "Современное образование Ленинградской области на 2014-2020 годы"</w:t>
            </w:r>
          </w:p>
        </w:tc>
      </w:tr>
      <w:tr w:rsidR="00946681" w:rsidRPr="00612CEC" w:rsidTr="007709C5"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Программно-целевые инструменты Программы</w:t>
            </w:r>
          </w:p>
        </w:tc>
        <w:tc>
          <w:tcPr>
            <w:tcW w:w="37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Ведомственные целевые программы:</w:t>
            </w:r>
          </w:p>
        </w:tc>
      </w:tr>
      <w:tr w:rsidR="00946681" w:rsidRPr="00612CEC" w:rsidTr="007709C5"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Ведомственная целевая </w:t>
            </w:r>
            <w:hyperlink r:id="rId14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программа</w:t>
              </w:r>
            </w:hyperlink>
            <w:r w:rsidRPr="00612CEC">
              <w:rPr>
                <w:sz w:val="24"/>
                <w:szCs w:val="24"/>
              </w:rPr>
              <w:t xml:space="preserve"> "Создание инновационной образовательной инфраструктуры для работы с одаренными детьми в Ленинградской области на 2012-2014 годы" (приказ комитета общего и профессионального образования Ленинградской области от 21 декабря 2011 года N 120);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hyperlink r:id="rId15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План</w:t>
              </w:r>
            </w:hyperlink>
            <w:r w:rsidRPr="00612CEC">
              <w:rPr>
                <w:sz w:val="24"/>
                <w:szCs w:val="24"/>
              </w:rPr>
              <w:t xml:space="preserve"> мероприятий ("дорожной карты") "Изменения в отраслях социальной сферы, направленные на повышение эффективности образования и науки в Ленинградской области" (распоряжение Правительства Ленинградской области от 24.04.2013 N 179-р)</w:t>
            </w:r>
          </w:p>
        </w:tc>
      </w:tr>
      <w:tr w:rsidR="00946681" w:rsidRPr="00612CEC" w:rsidTr="007709C5"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Цель Программы</w:t>
            </w:r>
          </w:p>
        </w:tc>
        <w:tc>
          <w:tcPr>
            <w:tcW w:w="3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Повышение доступности качественного образования, соответствующего требованиям инновационного развития экономики региона и страны в целом, современным требованиям общества</w:t>
            </w:r>
          </w:p>
        </w:tc>
      </w:tr>
      <w:tr w:rsidR="00946681" w:rsidRPr="00612CEC" w:rsidTr="007709C5">
        <w:tc>
          <w:tcPr>
            <w:tcW w:w="12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37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1. Создание в системе дошкольного образования равных возможностей для получения качественного образования в Ленинградской области.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2. Обеспечение доступности качественного общего образования, соответствующего требованиям развития экономики Ленинградской области, современным потребностями общества и каждого гражданина.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3. Обеспечение доступности и качества профессионального образования, соответствующего требованиям рынка труда Ленинградской области.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4. Создание условий для устойчивого развития системы воспитания и дополнительного образования детей, обеспечение ее современного качества, доступности и эффективности, для эффективного оздоровления и полноценного отдыха детей и подростков, эффективной организации их занятости в свободное от учебы время.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5. Формирование устойчивой кадровой политики в сфере образования, способствующей инновационному развитию региональной системы образования</w:t>
            </w:r>
          </w:p>
        </w:tc>
      </w:tr>
      <w:tr w:rsidR="00946681" w:rsidRPr="00612CEC" w:rsidTr="007709C5">
        <w:tc>
          <w:tcPr>
            <w:tcW w:w="12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Целевые показатели Программы</w:t>
            </w:r>
          </w:p>
        </w:tc>
        <w:tc>
          <w:tcPr>
            <w:tcW w:w="37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1. Доля детей дошкольного возраста, получающих образование по программам дошкольного образования (от числа детей дошкольного возраста, нуждающихся в этой услуге).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2. Удельный вес численности детей и молодежи 5-18 лет, получающих образование по программам начального общего, среднего общего, основного общего образования в общеобразовательных организациях (в общей численности детей и молодежи 5-18 лет).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3. Удельный вес численности обучающихся в образовательных организациях общего образования, обучающихся в соответствии с новыми федеральными государственными образовательными </w:t>
            </w:r>
            <w:r w:rsidRPr="00612CEC">
              <w:rPr>
                <w:sz w:val="24"/>
                <w:szCs w:val="24"/>
              </w:rPr>
              <w:lastRenderedPageBreak/>
              <w:t xml:space="preserve">стандартами (в общей </w:t>
            </w:r>
            <w:proofErr w:type="gramStart"/>
            <w:r w:rsidRPr="00612CEC">
              <w:rPr>
                <w:sz w:val="24"/>
                <w:szCs w:val="24"/>
              </w:rPr>
              <w:t>численности</w:t>
            </w:r>
            <w:proofErr w:type="gramEnd"/>
            <w:r w:rsidRPr="00612CEC">
              <w:rPr>
                <w:sz w:val="24"/>
                <w:szCs w:val="24"/>
              </w:rPr>
              <w:t xml:space="preserve"> обучающихся в организациях общего образования).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4. Доля обучающихся 7-11 классов, принявших участие в муниципальном этапе Всероссийской олимпиады школьников (в общей численности обучающихся 7-11 классов).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5. Доля детей и молодежи в возрасте от 5 до 18 лет, охваченных образовательными программами дополнительного образования детей (в общей численности детей и молодежи 5-18 лет).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6. Доля детей, оставшихся без попечения родителей, в том числе переданных </w:t>
            </w:r>
            <w:proofErr w:type="spellStart"/>
            <w:r w:rsidRPr="00612CEC">
              <w:rPr>
                <w:sz w:val="24"/>
                <w:szCs w:val="24"/>
              </w:rPr>
              <w:t>неродственникам</w:t>
            </w:r>
            <w:proofErr w:type="spellEnd"/>
            <w:r w:rsidRPr="00612CEC">
              <w:rPr>
                <w:sz w:val="24"/>
                <w:szCs w:val="24"/>
              </w:rPr>
              <w:t xml:space="preserve"> (в приемные семьи, на усыновление (удочерение), под опеку (попечительство), в семейные детские дома и патронатные семьи), от количества детей, находящихся в государственных (муниципальных) организациях всех типов.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7. Доля педагогов в системе общего образования в возрасте до 30 лет (от общей численности учителей общеобразовательных организаций Ленинградской области).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8. Соотношение средней заработной платы педагогических работников общеобразовательных организаций к средней заработной плате в Ленинградской области.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9. Соотношение средней заработной платы преподавателей образовательных организаций высшего профессионального образования к средней заработной плате в регионе.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10. Удельный вес численности выпускников профессиональных образовательных организаций очной формы обучения, трудоустроившихся в течение одного года после окончания </w:t>
            </w:r>
            <w:proofErr w:type="gramStart"/>
            <w:r w:rsidRPr="00612CEC">
              <w:rPr>
                <w:sz w:val="24"/>
                <w:szCs w:val="24"/>
              </w:rPr>
              <w:t>обучения по</w:t>
            </w:r>
            <w:proofErr w:type="gramEnd"/>
            <w:r w:rsidRPr="00612CEC">
              <w:rPr>
                <w:sz w:val="24"/>
                <w:szCs w:val="24"/>
              </w:rPr>
              <w:t xml:space="preserve"> полученной специальности (профессии) (от общей численности выпускников профессиональных образовательных организаций очной формы обучения).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11. Увеличение численности детей от 6 до 17 лет (включительно), зарегистрированных на территории Ленинградской области, охваченных организованными формами оздоровления и отдыха (в общей численности детей 6-17 лет, зарегистрированных на территории Ленинградской области).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12. Отношение среднего балла ЕГЭ (в расчете на 1 предмет) в 10% школ с лучшими результатами ЕГЭ к среднему баллу ЕГЭ (в расчете на один предмет) в 10% с худшими результатами ЕГЭ.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13. Доля выпускников государственных (муниципальных) общеобразовательных учреждений, сдавших единый государственный экзамен по русскому языку и математике, в общей численности выпускников государственных (муниципальных) общеобразовательных учреждений.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14. Уровень информированности населения по реализации мероприятий программы</w:t>
            </w:r>
          </w:p>
        </w:tc>
      </w:tr>
      <w:tr w:rsidR="00946681" w:rsidRPr="00612CEC" w:rsidTr="007709C5"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Этапы и сроки </w:t>
            </w:r>
            <w:r w:rsidRPr="00612CEC">
              <w:rPr>
                <w:sz w:val="24"/>
                <w:szCs w:val="24"/>
              </w:rPr>
              <w:lastRenderedPageBreak/>
              <w:t>реализации Программы</w:t>
            </w:r>
          </w:p>
        </w:tc>
        <w:tc>
          <w:tcPr>
            <w:tcW w:w="37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lastRenderedPageBreak/>
              <w:t>Программа реализуется в 2014-2020 годах в три этапа:</w:t>
            </w:r>
          </w:p>
        </w:tc>
      </w:tr>
      <w:tr w:rsidR="00946681" w:rsidRPr="00612CEC" w:rsidTr="007709C5"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I этап - 2014-2015 годы;</w:t>
            </w:r>
          </w:p>
        </w:tc>
      </w:tr>
      <w:tr w:rsidR="00946681" w:rsidRPr="00612CEC" w:rsidTr="007709C5"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II этап - 2015-2018 годы;</w:t>
            </w:r>
          </w:p>
        </w:tc>
      </w:tr>
      <w:tr w:rsidR="00946681" w:rsidRPr="00612CEC" w:rsidTr="007709C5"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III этап - 2019-2020 годы</w:t>
            </w:r>
          </w:p>
        </w:tc>
      </w:tr>
      <w:tr w:rsidR="00946681" w:rsidRPr="00612CEC" w:rsidTr="007709C5">
        <w:tc>
          <w:tcPr>
            <w:tcW w:w="12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Объем бюджетных ассигнований Программы</w:t>
            </w:r>
          </w:p>
        </w:tc>
        <w:tc>
          <w:tcPr>
            <w:tcW w:w="37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proofErr w:type="gramStart"/>
            <w:r w:rsidRPr="00612CEC">
              <w:rPr>
                <w:sz w:val="24"/>
                <w:szCs w:val="24"/>
              </w:rPr>
              <w:t>Общий объем ресурсного обеспечения реализации Программы составляет 136027695,55 тыс. рублей, из них: средства федерального бюджета - 4119205,40 тыс. рублей, средства областного бюджета - 128329529,01 тыс. рублей, средства местных бюджетов - 3578961,14 тыс. рублей,</w:t>
            </w:r>
            <w:proofErr w:type="gramEnd"/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 том числе на реализацию: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hyperlink r:id="rId16" w:history="1">
              <w:proofErr w:type="gramStart"/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подпрограммы 1</w:t>
              </w:r>
            </w:hyperlink>
            <w:r w:rsidRPr="00612CEC">
              <w:rPr>
                <w:sz w:val="24"/>
                <w:szCs w:val="24"/>
              </w:rPr>
              <w:t>. "Развитие дошкольного образования детей Ленинградской области" - 41485811,10 тыс. рублей, из них: средства федерального бюджета - 3096758,00 тыс. рублей, средства областного бюджета - 36087726,00 тыс. рублей, средства местных бюджетов - 2301327,10 тыс. рублей;</w:t>
            </w:r>
            <w:proofErr w:type="gramEnd"/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hyperlink r:id="rId17" w:history="1">
              <w:proofErr w:type="gramStart"/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подпрограммы 2</w:t>
              </w:r>
            </w:hyperlink>
            <w:r w:rsidRPr="00612CEC">
              <w:rPr>
                <w:sz w:val="24"/>
                <w:szCs w:val="24"/>
              </w:rPr>
              <w:t>. "Развитие начального общего, основного общего и среднего общего образования детей Ленинградской области" - 71644894,95 тыс. рублей, из них: средства федерального бюджета - 665000,00 тыс. рублей, средства областного бюджета - 69924574,41 тыс. рублей, средства местных бюджетов - 1055320,54 тыс. рублей;</w:t>
            </w:r>
            <w:proofErr w:type="gramEnd"/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hyperlink r:id="rId18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подпрограммы 3</w:t>
              </w:r>
            </w:hyperlink>
            <w:r w:rsidRPr="00612CEC">
              <w:rPr>
                <w:sz w:val="24"/>
                <w:szCs w:val="24"/>
              </w:rPr>
              <w:t>. "Развитие дополнительного образования детей Ленинградской области" - 1643672,70 тыс. рублей; из них: средства областного бюджета - 1559153,90 тыс. рублей, средства местных бюджетов - 84518,80 тыс. рублей;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hyperlink r:id="rId19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подпрограммы 4</w:t>
              </w:r>
            </w:hyperlink>
            <w:r w:rsidRPr="00612CEC">
              <w:rPr>
                <w:sz w:val="24"/>
                <w:szCs w:val="24"/>
              </w:rPr>
              <w:t>. "Реализация государственных гарантий для детей-сирот и детей, оставшихся без попечения родителей" - 2814104,00 тыс. рублей - средства областного бюджета;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hyperlink r:id="rId20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подпрограммы 5</w:t>
              </w:r>
            </w:hyperlink>
            <w:r w:rsidRPr="00612CEC">
              <w:rPr>
                <w:sz w:val="24"/>
                <w:szCs w:val="24"/>
              </w:rPr>
              <w:t>. "Развитие кадрового потенциала социальной сферы" - 1258026,00 тыс. рублей; из них: средства областного бюджета - 1151595,60 тыс. рублей, средства местных бюджетов - 106430,40 тыс. рублей;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hyperlink r:id="rId21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подпрограммы 6</w:t>
              </w:r>
            </w:hyperlink>
            <w:r w:rsidRPr="00612CEC">
              <w:rPr>
                <w:sz w:val="24"/>
                <w:szCs w:val="24"/>
              </w:rPr>
              <w:t>. "Развитие профессионального образования" - 14893098,60 тыс. рублей - средства областного бюджета;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hyperlink r:id="rId22" w:history="1">
              <w:proofErr w:type="gramStart"/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подпрограммы 7</w:t>
              </w:r>
            </w:hyperlink>
            <w:r w:rsidRPr="00612CEC">
              <w:rPr>
                <w:sz w:val="24"/>
                <w:szCs w:val="24"/>
              </w:rPr>
              <w:t>. "Развитие системы отдыха, оздоровления, занятости детей, подростков и молодежи, в том числе детей, находящихся в трудной жизненной ситуации" - 2096435,30 тыс. рублей, из них: средства федерального бюджета - 357447,40 тыс. рублей, средства областного бюджета - 1707661,80 тыс. рублей, 31326,10 тыс. рублей - средства местных бюджетов;</w:t>
            </w:r>
            <w:proofErr w:type="gramEnd"/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hyperlink r:id="rId23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подпрограммы 8</w:t>
              </w:r>
            </w:hyperlink>
            <w:r w:rsidRPr="00612CEC">
              <w:rPr>
                <w:sz w:val="24"/>
                <w:szCs w:val="24"/>
              </w:rPr>
              <w:t>. "Развитие системы оценки качества образования и информационной прозрачности системы образования" - 191652,90 тыс. рублей, из них: 191614,70 тыс. рублей - средства областного бюджета, 38,20 тыс. рублей - средства местных бюджетов;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hyperlink r:id="rId24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подпрограммы 9</w:t>
              </w:r>
            </w:hyperlink>
            <w:r w:rsidRPr="00612CEC">
              <w:rPr>
                <w:sz w:val="24"/>
                <w:szCs w:val="24"/>
              </w:rPr>
              <w:t xml:space="preserve">. "Обеспечение реализации государственной программы Ленинградской области "Современное образование Ленинградской </w:t>
            </w:r>
            <w:r w:rsidRPr="00612CEC">
              <w:rPr>
                <w:sz w:val="24"/>
                <w:szCs w:val="24"/>
              </w:rPr>
              <w:lastRenderedPageBreak/>
              <w:t>области" на 2014-2020 годы и прочие мероприятия в области образования" - 0 рублей.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Объем ресурсного обеспечения реализации Программы за счет средств областного бюджета составит 128329529,01 тыс. рублей, в том числе по годам: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 2014 году - 16264425,74 тыс. рублей;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 2015 году - 17925745,51 тыс. рублей;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 2016 году - 16805774,20 тыс. рублей;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 2017 году - 17700318,80 тыс. рублей;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 2018 году - 18744284,60 тыс. рублей;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 2019 году - 19853714,13 тыс. рублей;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 2020 году - 21035265,03 тыс. рублей</w:t>
            </w:r>
          </w:p>
        </w:tc>
      </w:tr>
      <w:tr w:rsidR="00946681" w:rsidRPr="00612CEC" w:rsidTr="007709C5"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37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1. Не менее 85% детей дошкольного возраста будут охвачены услугами дошкольного образования.</w:t>
            </w:r>
          </w:p>
        </w:tc>
      </w:tr>
      <w:tr w:rsidR="00946681" w:rsidRPr="00612CEC" w:rsidTr="007709C5"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2. Количество детей и молодежи 5-18 лет, получающих образование по программам начального общего, среднего общего, основного общего образования в общеобразовательных организациях, достигнет 100%.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3. К 2020 году будет решена задача обеспечения во всех школах удовлетворительного уровня базовой инфраструктуры в соответствии с ФГОС, которая включает основные виды благоустройства, свободный высокоскоростной доступ к современным образовательным ресурсам и сервисам сети Интернет, спортивные сооружения.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4. Не менее 8,8% обучающихся 7-11 классов будут привлечены к участию в муниципальном этапе Всероссийской олимпиады.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5. Не менее 81% детей 5-18 лет будут охвачены программами дополнительного образования.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6. Будет решена проблема устройства детей, оставшихся без попечения родителей, в приемные семьи, на усыновление (удочерение), под опеку (попечительство), в семейные детские дома и патронатные семьи.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7. Численности педагогов в системе общего образования в возрасте до 30 лет возрастет не менее чем 28,7%.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8. Уровень средней заработной платы педагогических работников общеобразовательных организаций достигнет уровня средней заработной платы в Ленинградской области.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9. Уровень средней заработной платы преподавателей образовательных организаций высшего профессионального образования увеличится по отношению к уровню средней заработной платы в регионе в 2 раза.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10. Численность выпускников профессиональных образовательных организаций очной формы обучения, трудоустроившихся в течение одного года после окончания </w:t>
            </w:r>
            <w:proofErr w:type="gramStart"/>
            <w:r w:rsidRPr="00612CEC">
              <w:rPr>
                <w:sz w:val="24"/>
                <w:szCs w:val="24"/>
              </w:rPr>
              <w:t>обучения по</w:t>
            </w:r>
            <w:proofErr w:type="gramEnd"/>
            <w:r w:rsidRPr="00612CEC">
              <w:rPr>
                <w:sz w:val="24"/>
                <w:szCs w:val="24"/>
              </w:rPr>
              <w:t xml:space="preserve"> полученной специальности (профессии), составит не менее 60%.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11. Численность детей от 6 до 17 лет (включительно), зарегистрированных на территории Ленинградской области, охваченных организованными формами оздоровления и отдыха, увеличится до 86,3%.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12. Сократится разрыв показателя среднего балла ЕГЭ (в расчете на 1 предмет) в 10% школ с лучшими результатами ЕГЭ к среднему баллу ЕГЭ (в расчете на один предмет) в 10% с худшими результатами ЕГЭ до 1,4 единицы.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13. Численность выпускников государственных (муниципальных) общеобразовательных учреждений, сдавших единый государственный экзамен по русскому языку и математике, увеличится до 99,8%.</w:t>
            </w:r>
          </w:p>
        </w:tc>
      </w:tr>
      <w:tr w:rsidR="00946681" w:rsidRPr="00612CEC" w:rsidTr="007709C5">
        <w:tc>
          <w:tcPr>
            <w:tcW w:w="12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6681" w:rsidRPr="00612CEC" w:rsidRDefault="0094668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14. Будет обеспечена открытость системы образования</w:t>
            </w:r>
          </w:p>
        </w:tc>
      </w:tr>
    </w:tbl>
    <w:p w:rsidR="00946681" w:rsidRPr="00612CEC" w:rsidRDefault="00946681" w:rsidP="00946681">
      <w:pPr>
        <w:rPr>
          <w:sz w:val="24"/>
          <w:szCs w:val="24"/>
        </w:rPr>
      </w:pPr>
      <w:bookmarkStart w:id="0" w:name="_GoBack"/>
      <w:bookmarkEnd w:id="0"/>
    </w:p>
    <w:sectPr w:rsidR="00946681" w:rsidRPr="00612CEC" w:rsidSect="0094668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E1D"/>
    <w:rsid w:val="00946681"/>
    <w:rsid w:val="00B22AB5"/>
    <w:rsid w:val="00F65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68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4668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68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466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41F0DDD3EF3CBF4C6366B54B6D5E1534C7E2CF4DD016AD7910D68565933E4CE377556C4FE74B9Ek4a6F" TargetMode="External"/><Relationship Id="rId13" Type="http://schemas.openxmlformats.org/officeDocument/2006/relationships/hyperlink" Target="consultantplus://offline/ref=F541F0DDD3EF3CBF4C6366B54B6D5E1534C7E2CF4DD016AD7910D68565933E4CE377556C4FE44990k4aEF" TargetMode="External"/><Relationship Id="rId18" Type="http://schemas.openxmlformats.org/officeDocument/2006/relationships/hyperlink" Target="consultantplus://offline/ref=F541F0DDD3EF3CBF4C6366B54B6D5E1534C7E2CF4DD016AD7910D68565933E4CE377556C4FE7489Bk4a0F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541F0DDD3EF3CBF4C6366B54B6D5E1534C7E2CF4DD016AD7910D68565933E4CE377556C4FE74C9Bk4a3F" TargetMode="External"/><Relationship Id="rId7" Type="http://schemas.openxmlformats.org/officeDocument/2006/relationships/hyperlink" Target="consultantplus://offline/ref=F541F0DDD3EF3CBF4C6366B54B6D5E1534C7E2CF4DD016AD7910D68565933E4CE377556C4FE7489Bk4a0F" TargetMode="External"/><Relationship Id="rId12" Type="http://schemas.openxmlformats.org/officeDocument/2006/relationships/hyperlink" Target="consultantplus://offline/ref=F541F0DDD3EF3CBF4C6366B54B6D5E1534C7E2CF4DD016AD7910D68565933E4CE377556C4FE7419Fk4aEF" TargetMode="External"/><Relationship Id="rId17" Type="http://schemas.openxmlformats.org/officeDocument/2006/relationships/hyperlink" Target="consultantplus://offline/ref=F541F0DDD3EF3CBF4C6366B54B6D5E1534C7E2CF4DD016AD7910D68565933E4CE377556C4FE6409Dk4a5F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541F0DDD3EF3CBF4C6366B54B6D5E1534C7E2CF4DD016AD7910D68565933E4CE377556C4FE64E9Ek4a0F" TargetMode="External"/><Relationship Id="rId20" Type="http://schemas.openxmlformats.org/officeDocument/2006/relationships/hyperlink" Target="consultantplus://offline/ref=F541F0DDD3EF3CBF4C6366B54B6D5E1534C7E2CF4DD016AD7910D68565933E4CE377556C4FE74A9Dk4a0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541F0DDD3EF3CBF4C6366B54B6D5E1534C7E2CF4DD016AD7910D68565933E4CE377556C4FE6409Dk4a5F" TargetMode="External"/><Relationship Id="rId11" Type="http://schemas.openxmlformats.org/officeDocument/2006/relationships/hyperlink" Target="consultantplus://offline/ref=F541F0DDD3EF3CBF4C6366B54B6D5E1534C7E2CF4DD016AD7910D68565933E4CE377556C4FE74E99k4aEF" TargetMode="External"/><Relationship Id="rId24" Type="http://schemas.openxmlformats.org/officeDocument/2006/relationships/hyperlink" Target="consultantplus://offline/ref=F541F0DDD3EF3CBF4C6366B54B6D5E1534C7E2CF4DD016AD7910D68565933E4CE377556C4FE44990k4aEF" TargetMode="External"/><Relationship Id="rId5" Type="http://schemas.openxmlformats.org/officeDocument/2006/relationships/hyperlink" Target="consultantplus://offline/ref=F541F0DDD3EF3CBF4C6366B54B6D5E1534C7E2CF4DD016AD7910D68565933E4CE377556C4FE64E9Ek4a0F" TargetMode="External"/><Relationship Id="rId15" Type="http://schemas.openxmlformats.org/officeDocument/2006/relationships/hyperlink" Target="consultantplus://offline/ref=F541F0DDD3EF3CBF4C6366B54B6D5E1534C6E0C84BD216AD7910D68565933E4CE377556C4FE64999k4a7F" TargetMode="External"/><Relationship Id="rId23" Type="http://schemas.openxmlformats.org/officeDocument/2006/relationships/hyperlink" Target="consultantplus://offline/ref=F541F0DDD3EF3CBF4C6366B54B6D5E1534C7E2CF4DD016AD7910D68565933E4CE377556C4FE7419Fk4aEF" TargetMode="External"/><Relationship Id="rId10" Type="http://schemas.openxmlformats.org/officeDocument/2006/relationships/hyperlink" Target="consultantplus://offline/ref=F541F0DDD3EF3CBF4C6366B54B6D5E1534C7E2CF4DD016AD7910D68565933E4CE377556C4FE74C9Bk4a3F" TargetMode="External"/><Relationship Id="rId19" Type="http://schemas.openxmlformats.org/officeDocument/2006/relationships/hyperlink" Target="consultantplus://offline/ref=F541F0DDD3EF3CBF4C6366B54B6D5E1534C7E2CF4DD016AD7910D68565933E4CE377556C4FE74B9Ek4a6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541F0DDD3EF3CBF4C6366B54B6D5E1534C7E2CF4DD016AD7910D68565933E4CE377556C4FE74A9Dk4a0F" TargetMode="External"/><Relationship Id="rId14" Type="http://schemas.openxmlformats.org/officeDocument/2006/relationships/hyperlink" Target="consultantplus://offline/ref=F541F0DDD3EF3CBF4C6366B54B6D5E1534C3EBC948D816AD7910D68565933E4CE377556C4FE64999k4a4F" TargetMode="External"/><Relationship Id="rId22" Type="http://schemas.openxmlformats.org/officeDocument/2006/relationships/hyperlink" Target="consultantplus://offline/ref=F541F0DDD3EF3CBF4C6366B54B6D5E1534C7E2CF4DD016AD7910D68565933E4CE377556C4FE74E99k4a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2198</Words>
  <Characters>12535</Characters>
  <Application>Microsoft Office Word</Application>
  <DocSecurity>0</DocSecurity>
  <Lines>104</Lines>
  <Paragraphs>29</Paragraphs>
  <ScaleCrop>false</ScaleCrop>
  <Company/>
  <LinksUpToDate>false</LinksUpToDate>
  <CharactersWithSpaces>14704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Васютина Ольга Валерьевна</dc:creator>
  <cp:keywords/>
  <dc:description/>
  <cp:lastModifiedBy>Васютина Ольга Валерьевна</cp:lastModifiedBy>
  <cp:revision>2</cp:revision>
  <dcterms:created xsi:type="dcterms:W3CDTF">2014-09-05T07:12:00Z</dcterms:created>
  <dcterms:modified xsi:type="dcterms:W3CDTF">2014-09-05T07:13:00Z</dcterms:modified>
</cp:coreProperties>
</file>