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817" w:rsidRPr="00612CEC" w:rsidRDefault="00271817" w:rsidP="00271817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 xml:space="preserve">ПАСПОРТ </w:t>
      </w:r>
    </w:p>
    <w:p w:rsidR="00271817" w:rsidRPr="00612CEC" w:rsidRDefault="00271817" w:rsidP="00271817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 xml:space="preserve">ГОСУДАРСТВЕННОЙ ПРОГРАММЫ ЛЕНИНГРАДСКОЙ ОБЛАСТИ </w:t>
      </w:r>
    </w:p>
    <w:p w:rsidR="00271817" w:rsidRPr="00612CEC" w:rsidRDefault="00271817" w:rsidP="00271817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 xml:space="preserve">ОТ 14 НОЯБРЯ 2013 Г. N 395 </w:t>
      </w:r>
    </w:p>
    <w:p w:rsidR="00271817" w:rsidRPr="00612CEC" w:rsidRDefault="00271817" w:rsidP="00271817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"ИНФОРМАЦИОННОЕ ОБЩЕСТВО В ЛЕНИНГРАДСКОЙ ОБЛАСТИ"</w:t>
      </w:r>
    </w:p>
    <w:p w:rsidR="00271817" w:rsidRPr="00612CEC" w:rsidRDefault="00271817" w:rsidP="00271817">
      <w:pPr>
        <w:jc w:val="center"/>
        <w:rPr>
          <w:sz w:val="24"/>
          <w:szCs w:val="24"/>
        </w:rPr>
      </w:pP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098"/>
        <w:gridCol w:w="866"/>
        <w:gridCol w:w="1426"/>
        <w:gridCol w:w="1564"/>
        <w:gridCol w:w="1427"/>
        <w:gridCol w:w="1114"/>
        <w:gridCol w:w="1874"/>
      </w:tblGrid>
      <w:tr w:rsidR="00271817" w:rsidRPr="00612CEC" w:rsidTr="007709C5"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398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Информационное общество в Ленинградской области</w:t>
            </w:r>
          </w:p>
        </w:tc>
      </w:tr>
      <w:tr w:rsidR="00271817" w:rsidRPr="00612CEC" w:rsidTr="007709C5"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398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телекоммуникациям и информатизации Ленинградской области</w:t>
            </w:r>
          </w:p>
        </w:tc>
      </w:tr>
      <w:tr w:rsidR="00271817" w:rsidRPr="00612CEC" w:rsidTr="007709C5"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398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государственного заказа Ленинградской области</w:t>
            </w:r>
          </w:p>
        </w:tc>
      </w:tr>
      <w:tr w:rsidR="00271817" w:rsidRPr="00612CEC" w:rsidTr="007709C5"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3988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Государственное казенное учреждение "Оператор электронного правительства",</w:t>
            </w:r>
          </w:p>
        </w:tc>
      </w:tr>
      <w:tr w:rsidR="00271817" w:rsidRPr="00612CEC" w:rsidTr="007709C5">
        <w:tc>
          <w:tcPr>
            <w:tcW w:w="101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Государственное казенное учреждение "Центр безопасности дорожного движения",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Ленинградский областной комитет по управлению государственным имуществом,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ОАО "Региональный навигационно-информационный центр по Ленинградской области",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ОАО "Навигационные информационные системы"</w:t>
            </w:r>
          </w:p>
        </w:tc>
      </w:tr>
      <w:tr w:rsidR="00271817" w:rsidRPr="00612CEC" w:rsidTr="007709C5"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398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hyperlink r:id="rId5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1</w:t>
              </w:r>
            </w:hyperlink>
            <w:r w:rsidRPr="00612CEC">
              <w:rPr>
                <w:sz w:val="24"/>
                <w:szCs w:val="24"/>
              </w:rPr>
              <w:t xml:space="preserve"> "Развитие инфраструктуры информационного общества"</w:t>
            </w:r>
          </w:p>
        </w:tc>
      </w:tr>
      <w:tr w:rsidR="00271817" w:rsidRPr="00612CEC" w:rsidTr="007709C5">
        <w:tc>
          <w:tcPr>
            <w:tcW w:w="101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hyperlink r:id="rId6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2</w:t>
              </w:r>
            </w:hyperlink>
            <w:r w:rsidRPr="00612CEC">
              <w:rPr>
                <w:sz w:val="24"/>
                <w:szCs w:val="24"/>
              </w:rPr>
              <w:t xml:space="preserve"> "Обеспечение информационной безопасности информационного общества"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hyperlink r:id="rId7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3</w:t>
              </w:r>
            </w:hyperlink>
            <w:r w:rsidRPr="00612CEC">
              <w:rPr>
                <w:sz w:val="24"/>
                <w:szCs w:val="24"/>
              </w:rPr>
              <w:t xml:space="preserve"> "Развитие электронного правительства Ленинградской области"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hyperlink r:id="rId8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4</w:t>
              </w:r>
            </w:hyperlink>
            <w:r w:rsidRPr="00612CEC">
              <w:rPr>
                <w:sz w:val="24"/>
                <w:szCs w:val="24"/>
              </w:rPr>
              <w:t xml:space="preserve"> "Внедрение спутниковых навигационных технологий с использованием системы ГЛОНАСС и других результатов космической деятельности в интересах социально-экономического развития Ленинградской области"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hyperlink r:id="rId9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5</w:t>
              </w:r>
            </w:hyperlink>
            <w:r w:rsidRPr="00612CEC">
              <w:rPr>
                <w:sz w:val="24"/>
                <w:szCs w:val="24"/>
              </w:rPr>
              <w:t xml:space="preserve"> "Создание и развитие системы государственных и муниципальных закупок Ленинградской области на основе положений контрактной системы в сфере закупок товаров, работ, услуг для обеспечения государственных и муниципальных нужд"</w:t>
            </w:r>
          </w:p>
        </w:tc>
      </w:tr>
      <w:tr w:rsidR="00271817" w:rsidRPr="00612CEC" w:rsidTr="007709C5">
        <w:tc>
          <w:tcPr>
            <w:tcW w:w="10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Программно-целевые инструменты государственной программы</w:t>
            </w:r>
          </w:p>
        </w:tc>
        <w:tc>
          <w:tcPr>
            <w:tcW w:w="3988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Ведомственная целевая </w:t>
            </w:r>
            <w:hyperlink r:id="rId10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программа</w:t>
              </w:r>
            </w:hyperlink>
            <w:r w:rsidRPr="00612CEC">
              <w:rPr>
                <w:sz w:val="24"/>
                <w:szCs w:val="24"/>
              </w:rPr>
              <w:t xml:space="preserve"> комитета по телекоммуникациям и информатизации Ленинградской области "Обеспечение функционирования информационного общества в 2014-2016 годах", утверждена приказом комитета по телекоммуникациям и информатизации Ленинградской области от 31 октября 2013 г. N 7;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Ведомственная целевая </w:t>
            </w:r>
            <w:hyperlink r:id="rId11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программа</w:t>
              </w:r>
            </w:hyperlink>
            <w:r w:rsidRPr="00612CEC">
              <w:rPr>
                <w:sz w:val="24"/>
                <w:szCs w:val="24"/>
              </w:rPr>
              <w:t xml:space="preserve"> комитета по телекоммуникациям и информатизации Ленинградской области "Обеспечение функционирования </w:t>
            </w:r>
            <w:r w:rsidRPr="00612CEC">
              <w:rPr>
                <w:sz w:val="24"/>
                <w:szCs w:val="24"/>
              </w:rPr>
              <w:lastRenderedPageBreak/>
              <w:t>системы автоматической фиксации административных нарушений в области безопасности дорожного движения на территории Ленинградской области в 2014-2016 годах", утверждена приказом комитета по телекоммуникациям и информатизации Ленинградской области от 31 октября 2013 г. N 8</w:t>
            </w:r>
          </w:p>
        </w:tc>
      </w:tr>
      <w:tr w:rsidR="00271817" w:rsidRPr="00612CEC" w:rsidTr="007709C5">
        <w:tc>
          <w:tcPr>
            <w:tcW w:w="10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lastRenderedPageBreak/>
              <w:t>Цели государственной программы</w:t>
            </w:r>
          </w:p>
        </w:tc>
        <w:tc>
          <w:tcPr>
            <w:tcW w:w="3988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Целью государственной программы является повышение качества жизни граждан, обеспечение конкурентоспособности Ленинградской области, развитие экономической, социально-политической и культурной сфер жизни жителей Ленинградской области и совершенствование системы государственного управления на основе использования информационных и телекоммуникационных технологий.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Целями подпрограмм государственной программы являются: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Снижение временных и стоимостных затрат органов государственной власти Ленинградской области, подведомственных организаций и органов местного самоуправления на выполнение их функций за счет использования информационно-коммуникационных технологий.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Снижение временных и стоимостных затрат граждан и юридических лиц при получении государственных и муниципальных услуг за счет использования информационно-коммуникационных технологий.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Повышение качества принятия управленческих решений за счет информационной поддержки принятия решений в сфере управления регионом и муниципальными образованиями на основе межведомственного и межсистемного электронного взаимодействия.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Повышение общего уровня информационной безопасности гражданина, бизнеса и государственных структур в Ленинградской области</w:t>
            </w:r>
          </w:p>
        </w:tc>
      </w:tr>
      <w:tr w:rsidR="00271817" w:rsidRPr="00612CEC" w:rsidTr="007709C5">
        <w:tc>
          <w:tcPr>
            <w:tcW w:w="10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3988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Создание и развитие интеграционных информационных систем в составе "электронного правительства" Ленинградской области, предназначенных для предоставления гражданам и юридическим лицам государственных и муниципальных услуг в электронном виде и информационной поддержки исполнения ОГВ и органами местного самоуправления Ленинградской области возложенных на них функций.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Создание и развитие инфраструктурных информационных систем Ленинградской области, предназначенных для осуществления межведомственного и межсистемного взаимодействия в электронном виде.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Создание, развитие и сопровождение ведомственных, отраслевых и территориальных информационных систем ОГВ Ленинградской области, подведомственных организаций и органов местного самоуправления.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Создание и развитие инфраструктуры пространственных данных Ленинградской области.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Создание и развитие системы базовых информационных ресурсов.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Создание и развитие </w:t>
            </w:r>
            <w:proofErr w:type="gramStart"/>
            <w:r w:rsidRPr="00612CEC">
              <w:rPr>
                <w:sz w:val="24"/>
                <w:szCs w:val="24"/>
              </w:rPr>
              <w:t>систем защиты информации региональных информационных систем органов исполнительной власти Ленинградской области</w:t>
            </w:r>
            <w:proofErr w:type="gramEnd"/>
            <w:r w:rsidRPr="00612CEC">
              <w:rPr>
                <w:sz w:val="24"/>
                <w:szCs w:val="24"/>
              </w:rPr>
              <w:t xml:space="preserve"> и органов местного самоуправления, а также инфраструктуры и компонентов управления централизованно-распределенными системами защиты информации в информационном обществе Ленинградской области с </w:t>
            </w:r>
            <w:r w:rsidRPr="00612CEC">
              <w:rPr>
                <w:sz w:val="24"/>
                <w:szCs w:val="24"/>
              </w:rPr>
              <w:lastRenderedPageBreak/>
              <w:t>использованием сертифицированных в РФ средств защиты информации.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Развитие технологической инфраструктуры информационного общества в Ленинградской области, включая проектные, строительно-монтажные, пусконаладочные работы, построение и аренду магистральных цифровых каналов связи.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Обеспечение автоматической фиксации административных нарушений в области безопасности дорожного движения.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Внедрение спутниковых навигационных технологий с использованием системы ГЛОНАСС и других результатов космической деятельности в интересах социально-экономического развития Ленинградской области</w:t>
            </w:r>
          </w:p>
        </w:tc>
      </w:tr>
      <w:tr w:rsidR="00271817" w:rsidRPr="00612CEC" w:rsidTr="007709C5">
        <w:tc>
          <w:tcPr>
            <w:tcW w:w="10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Целевые индикаторы и показатели государственной программы</w:t>
            </w:r>
          </w:p>
        </w:tc>
        <w:tc>
          <w:tcPr>
            <w:tcW w:w="3988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Показателем государственной программы является индекс готовности Ленинградской области к информационному обществу. </w:t>
            </w:r>
            <w:proofErr w:type="gramStart"/>
            <w:r w:rsidRPr="00612CEC">
              <w:rPr>
                <w:sz w:val="24"/>
                <w:szCs w:val="24"/>
              </w:rPr>
              <w:t>Индекс строится на показателях, характеризующих три ключевых фактора электронного развития региона (человеческий капитал, экономическая среда, ИКТ-инфраструктура), и показателях доступа и использования ИКТ в шести сферах деятельности: в государственном и муниципальном управлении, бизнесе, образовании, здравоохранении, культуре, а также использование ИКТ домохозяйствами и населением: 2014 год - 0,425; 2015 год - 0,5; 2016 год - 0,52;</w:t>
            </w:r>
            <w:proofErr w:type="gramEnd"/>
            <w:r w:rsidRPr="00612CEC">
              <w:rPr>
                <w:sz w:val="24"/>
                <w:szCs w:val="24"/>
              </w:rPr>
              <w:t xml:space="preserve"> 2017 год - 0,55; 2018 год - 0,6.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 соответствии с полномочиями ответственного исполнителя государственной программы измерение хода реализации программы осуществляется по следующим показателям (индикаторам) подпрограмм: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Подпрограмма 1 "Развитие инфраструктуры информационного общества"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Уровень развития ЕСПД (доля органов исполнительной власти, органов местного самоуправления Ленинградской области и учреждений Ленинградской области, обеспеченных проводным доступом к ЕСПД: 2014 год - 5%; 2015 год - 6%; 2016 год - 7%; 2017 год - 8%; 2018 год - 9%);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Уровень развития регионального сегмента СМЭВ ЛО (доля межведомственных запросов, осуществляемых с использованием СМЭВ: 2014 год - 10%; 2015 год - 15%; 2016 год - 20%; 2017 год - 25%; 2018 год - 30%);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Уровень развития единой системы учета информационных систем Ленинградской области (доля учтенных в единой системе учета ИС информационных систем, используемых в органах государственной и муниципальной власти Ленинградской области: 2014 год - 50%; 2015 год - 65%; 2016 год - 75%; 2017 год - 85%; 2018 год - 95%);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Уровень развития централизованной информационной системы учета населения Ленинградской области (доля граждан, учтенных в централизованной информационной системе учета населения Ленинградской области, информация о которых пригодна и доступна для использования заинтересованными органами государственного и муниципального управления: 2014 год - 0%; 2015 год - 5%; 2016 год - 10%; 2017 год - 20%; 2018 год - 30%);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Уровень развития единого реестра объектов недвижимости Ленинградской области (доля объектов недвижимости, учтенных в едином реестре объектов недвижимости Ленинградской области, информация о которых пригодна и </w:t>
            </w:r>
            <w:r w:rsidRPr="00612CEC">
              <w:rPr>
                <w:sz w:val="24"/>
                <w:szCs w:val="24"/>
              </w:rPr>
              <w:lastRenderedPageBreak/>
              <w:t>доступна для использования заинтересованными органами государственного и муниципального управления: 2014 год - 0%; 2015 год - 5%; 2016 год - 10%; 2017 год - 20%; 2018 год - 30%);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Уровень развития единой адресной системы Ленинградской области (доля актуальных и соответствующих требованиям Федеральной информационной адресной системы адресов, учтенных в единой адресной системе Ленинградской области: 2014 год - 40%; 2015 год - 55%; 2016 год - 70%; 2017 год - 80%; 2018 год - 90%);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proofErr w:type="gramStart"/>
            <w:r w:rsidRPr="00612CEC">
              <w:rPr>
                <w:sz w:val="24"/>
                <w:szCs w:val="24"/>
              </w:rPr>
              <w:t>Темп развития тематических слоев карты Ленинградской области в рамках СПД: 2014 год - 12%; 2015 год - 17%; 2016 год - 20%; 2017 год - 23%; 2018 год - 25%);</w:t>
            </w:r>
            <w:proofErr w:type="gramEnd"/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Уровень развития единой системы классификации и кодирования информации в информационных системах ОИВ и ОМСУ Ленинградской области (доля ведомственных информационных систем, использующих сведения из системы классификации и кодирования: 2014 год - 0%; 2015 год - 5%; 2016 год - 10%; 2017 год - 15%; 2018 год - 20%);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Содержание и материально-техническое обеспечение деятельности государственного казенного учреждения Ленинградской области "Оператор электронного правительства": 2014 год - 100%; 2015 год - 100%; 2016 год - 100%; 2017 год - 100%; 2018 год - 100%;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Доля домохозяйств Ленинградской области с малыми доходами, принимающих эфирные цифровые телеканалы кабельного, эфирного наземного и спутникового цифрового вещания: 2017 год - 30%; 2018 год - 45%;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Удельное время бесперебойного функционирования отраслевых и ведомственных информационных систем ОИВ ЛО: 2014 год - 95%; 2015 год - 95%; 2016 год - 95%; 2017 год - 95%; 2018 год - 95%;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Удельное время бесперебойного функционирования ЕСПД АЛО: 2014 год - 90%; 2015 год - 90%; 2016 год - 90%; 2017 год - 90%; 2018 год - 90%;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Количество обслуживаемых подсистем защиты информации ИС ОИВ ЛО: 2014 год - 9; 2015 год - 15; 2016 год - 21; 2017 год - 21; 2018 год - 21;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proofErr w:type="gramStart"/>
            <w:r w:rsidRPr="00612CEC">
              <w:rPr>
                <w:sz w:val="24"/>
                <w:szCs w:val="24"/>
              </w:rPr>
              <w:t>Доля обеспеченности лицензионным системным, прикладным и специальным ПО для внедрения информационных систем, созданных в рамках государственной программы: 2014 год - 100%; 2015 год - 100%; 2016 год - 100%; 2017 год - 100%; 2018 год - 100%;</w:t>
            </w:r>
            <w:proofErr w:type="gramEnd"/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Доля обновленного компьютерного, серверного, сетевого, инженерного, периферийного оборудования, систем хранения данных для внедрения информационных систем, создаваемых в рамках государственной программы: 2014 год - 100%; 2014 год - 100%; 2016 год - 100%; 2017 год - 100%; 2018 год - 100%;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Доля выполненных заявок на обслуживание и ремонт компьютерного и телекоммуникационного оборудования, поступивших от сотрудников ОИВ ЛО: 2014 год - 100%; 2015 год - 100%; 2016 год - 100%; 2017 год - 100%; 2018 год - 100%.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Подпрограмма 2 "Обеспечение информационной безопасности </w:t>
            </w:r>
            <w:r w:rsidRPr="00612CEC">
              <w:rPr>
                <w:sz w:val="24"/>
                <w:szCs w:val="24"/>
              </w:rPr>
              <w:lastRenderedPageBreak/>
              <w:t>информационного общества"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Уровень защиты информационных систем органов исполнительной власти (доля защищенных информационных систем органов исполнительной власти: 2014 год - 25%; 2015 год - 50%; 2016 год - 75%; 2017 год - 100%; 2018 год - 100%);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Уровень защиты информационных межведомственных систем (доля защищенных информационных межведомственных систем: 2014 год - 25%; 2015 год - 50%; 2016 год - 75%; 2017 год - 100%; 2018 год - 100%);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Темп развития функциональных подсистем центра управления (прирост количества функциональных подсистем центра управления: 2014 год - 25%; 2015 год - 50%; 2016 год - 75%; 2017 год - 100%; 2018 год - 100%);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proofErr w:type="gramStart"/>
            <w:r w:rsidRPr="00612CEC">
              <w:rPr>
                <w:sz w:val="24"/>
                <w:szCs w:val="24"/>
              </w:rPr>
              <w:t>Содержание и материально-техническое обеспечение деятельности государственного казенного учреждения Ленинградской области "Центр безопасности дорожного движения": 2014 год - 100%; 2015 год - 100%; 2016 год - 100%; 2017 год - 100%; 2018 год - 100%);</w:t>
            </w:r>
            <w:proofErr w:type="gramEnd"/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Работы по монтажу и подключению к сети электроснабжения приборов </w:t>
            </w:r>
            <w:proofErr w:type="spellStart"/>
            <w:r w:rsidRPr="00612CEC">
              <w:rPr>
                <w:sz w:val="24"/>
                <w:szCs w:val="24"/>
              </w:rPr>
              <w:t>фотовидеофиксации</w:t>
            </w:r>
            <w:proofErr w:type="spellEnd"/>
            <w:r w:rsidRPr="00612CEC">
              <w:rPr>
                <w:sz w:val="24"/>
                <w:szCs w:val="24"/>
              </w:rPr>
              <w:t xml:space="preserve"> нарушений правил дорожного движения: 2013 год - 38 шт.; с 2014 по 2018 год ежегодно по 30 шт.;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Услуги почтовой связи по рассылке материалов, полученных с использованием работающих в автоматическом режиме специальных технических средств фиксации нарушений правил дорожного движения: 2014 год - 160800; 2015 год - 140300; 2016 год - 159500; 2017 год - 159500; 2018 год - 159500;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Предоставление каналов связи для передачи информации, полученной приборами </w:t>
            </w:r>
            <w:proofErr w:type="spellStart"/>
            <w:r w:rsidRPr="00612CEC">
              <w:rPr>
                <w:sz w:val="24"/>
                <w:szCs w:val="24"/>
              </w:rPr>
              <w:t>фотовидеофиксации</w:t>
            </w:r>
            <w:proofErr w:type="spellEnd"/>
            <w:r w:rsidRPr="00612CEC">
              <w:rPr>
                <w:sz w:val="24"/>
                <w:szCs w:val="24"/>
              </w:rPr>
              <w:t xml:space="preserve"> нарушений правил дорожного движения, в центр обработки данных: ежегодно по 38;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Услуги по техническому обслуживанию, страхование от повреждения и хищения, электроснабжения приборов </w:t>
            </w:r>
            <w:proofErr w:type="spellStart"/>
            <w:r w:rsidRPr="00612CEC">
              <w:rPr>
                <w:sz w:val="24"/>
                <w:szCs w:val="24"/>
              </w:rPr>
              <w:t>фотовидеофиксации</w:t>
            </w:r>
            <w:proofErr w:type="spellEnd"/>
            <w:r w:rsidRPr="00612CEC">
              <w:rPr>
                <w:sz w:val="24"/>
                <w:szCs w:val="24"/>
              </w:rPr>
              <w:t xml:space="preserve"> нарушений правил дорожного движения: ежегодно по 38;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proofErr w:type="gramStart"/>
            <w:r w:rsidRPr="00612CEC">
              <w:rPr>
                <w:sz w:val="24"/>
                <w:szCs w:val="24"/>
              </w:rPr>
              <w:t xml:space="preserve">Переоборудование передвижных приборов </w:t>
            </w:r>
            <w:proofErr w:type="spellStart"/>
            <w:r w:rsidRPr="00612CEC">
              <w:rPr>
                <w:sz w:val="24"/>
                <w:szCs w:val="24"/>
              </w:rPr>
              <w:t>фотовидеофиксации</w:t>
            </w:r>
            <w:proofErr w:type="spellEnd"/>
            <w:r w:rsidRPr="00612CEC">
              <w:rPr>
                <w:sz w:val="24"/>
                <w:szCs w:val="24"/>
              </w:rPr>
              <w:t xml:space="preserve"> нарушений правил дорожного движения в стационарные: 2013 год - 27.</w:t>
            </w:r>
            <w:proofErr w:type="gramEnd"/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Подпрограмма 3 "Развитие электронного правительства Ленинградской области"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Доля граждан, использующих механизм получения государственных и муниципальных услуг в электронном виде: 2014 год - 30%; 2015 год - 40%; 2016 год - 50%; 2017 год - 60%; 2018 год - 70%;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Уровень развития МАИС предоставления государственных услуг и исполнения государственных функций (Доля государственных услуг, оказываемых на основе использования МАИС: 2014 год - 50%; 2015 год - 100%; 2016 год - 100%; 2017 год - 100%; 2018 год - 100%);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Уровень развития МАИС предоставления муниципальных услуг и исполнения муниципальных функций (Доля муниципальных услуг, оказываемых на основе использования МАИС: 2014 год - 0,1%; 2015 год - 5%; 2016 год - 10%; 2017 год - 15%; 2018 год - 20%);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Уровень развития СЭД органов государственной власти и местного самоуправления (Доля документов, обрабатываемых органами государственной власти и местного самоуправления исключительно в рамках СЭД: 2014 год - 30%; 2015 год - 40%; 2016 год - 50%; 2017 год - 60%; 2018 год - 70%);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Уровень развития АИС Электронный муниципалитет (Доля административных процессов, реализуемых на основе использования АИС Электронный муниципалитет: 2017 год - 2%; 2018 год - 10%);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Степень удовлетворенности сотрудников органов исполнительной власти уровнем информатизации в сфере их деятельности (Доля позитивных оценок от числа опрошенных: ежегодно 10%);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Количество проектов, по которым была проведена независимая программно-технологическая экспертиза: ежегодно по 9 проектов.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Подпрограмма 4 "Внедрение спутниковых навигационных технологий с использованием системы ГЛОНАСС и других результатов космической деятельности в интересах социально-экономического развития Ленинградской области"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Количество созданных систем и подсистем: 2014 год - 12 шт.;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Количество комплектов программного обеспечения: 2014 год - 20 комплектов;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Количество комплектов оборудования: 2014 год - 3 комплекта;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Оснащение навигационно-связным оборудованием автотранспортных средств, используемых при осуществлении перевозок детей: 2014 год - 100%;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Количество разработанных нормативных правовых актов: 2014 год - 2 акта;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Количество эксплуатируемых систем и подсистем: 2017 год - 12; 2018 год - 12;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Обеспечение эксплуатации фонда пространственных данных: 2017 год - 100%; 2018 год - 100%.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Подпрограмма 5 "Создание и развитие системы государственных и муниципальных закупок Ленинградской области на основе положений контрактной системы в сфере закупок товаров, работ, услуг для обеспечения государственных и муниципальных нужд"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Количество объектов действия подпрограммы: в течение всего программного периода - 1;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Количество блоков, по которому обеспечено развитие: в течение всего программного периода - 1;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Количество созданных блоков: в течение всего программного периода - 1;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Количество функционирующих автоматизированных рабочих мест: 2014 год - 20%; 2015 год - 80%; 2016 год - 100%; 2017 год - 100%; 2018 год - 100%;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Уровень соответствия структуры баз данных АИСГЗ ЛО требованиям контрактной системы в сфере закупок товаров, работ, услуг: 2014 год - 80%; 2015 год - 100%; 2016 год - 100%; 2017 год - 100%; 2018 год - 100%;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Количество модернизируемых серверных комплексов АИСГЗ ЛО: 2014 год - 1; 2017 год - 1 сервер</w:t>
            </w:r>
          </w:p>
        </w:tc>
      </w:tr>
      <w:tr w:rsidR="00271817" w:rsidRPr="00612CEC" w:rsidTr="007709C5"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Этапы и сроки реализации государственной программы</w:t>
            </w:r>
          </w:p>
        </w:tc>
        <w:tc>
          <w:tcPr>
            <w:tcW w:w="3988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 этап: 01.01.2014-31.12.2015</w:t>
            </w:r>
          </w:p>
        </w:tc>
      </w:tr>
      <w:tr w:rsidR="00271817" w:rsidRPr="00612CEC" w:rsidTr="007709C5">
        <w:tc>
          <w:tcPr>
            <w:tcW w:w="10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 этап: 01.01.2016-31.12.2018</w:t>
            </w:r>
          </w:p>
        </w:tc>
      </w:tr>
      <w:tr w:rsidR="00271817" w:rsidRPr="00612CEC" w:rsidTr="007709C5">
        <w:tc>
          <w:tcPr>
            <w:tcW w:w="10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Объемы бюджетных ассигнований государственной программы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Год</w:t>
            </w:r>
          </w:p>
        </w:tc>
        <w:tc>
          <w:tcPr>
            <w:tcW w:w="688" w:type="pct"/>
            <w:tcBorders>
              <w:top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Всего (тыс. руб.)</w:t>
            </w:r>
          </w:p>
        </w:tc>
        <w:tc>
          <w:tcPr>
            <w:tcW w:w="754" w:type="pct"/>
            <w:tcBorders>
              <w:top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688" w:type="pct"/>
            <w:tcBorders>
              <w:top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(тыс. руб.)</w:t>
            </w:r>
          </w:p>
        </w:tc>
        <w:tc>
          <w:tcPr>
            <w:tcW w:w="537" w:type="pct"/>
            <w:tcBorders>
              <w:top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Местный бюджет (тыс. руб.)</w:t>
            </w:r>
          </w:p>
        </w:tc>
        <w:tc>
          <w:tcPr>
            <w:tcW w:w="904" w:type="pct"/>
            <w:tcBorders>
              <w:top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Прочие источники финансирования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418" w:type="pct"/>
            <w:tcBorders>
              <w:lef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</w:t>
            </w:r>
          </w:p>
        </w:tc>
        <w:tc>
          <w:tcPr>
            <w:tcW w:w="688" w:type="pc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439209,69</w:t>
            </w:r>
          </w:p>
        </w:tc>
        <w:tc>
          <w:tcPr>
            <w:tcW w:w="754" w:type="pc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45085,50</w:t>
            </w:r>
          </w:p>
        </w:tc>
        <w:tc>
          <w:tcPr>
            <w:tcW w:w="688" w:type="pc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394124,19</w:t>
            </w:r>
          </w:p>
        </w:tc>
        <w:tc>
          <w:tcPr>
            <w:tcW w:w="537" w:type="pc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418" w:type="pct"/>
            <w:tcBorders>
              <w:lef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</w:t>
            </w:r>
          </w:p>
        </w:tc>
        <w:tc>
          <w:tcPr>
            <w:tcW w:w="688" w:type="pc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356924,20</w:t>
            </w:r>
          </w:p>
        </w:tc>
        <w:tc>
          <w:tcPr>
            <w:tcW w:w="754" w:type="pc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</w:t>
            </w:r>
          </w:p>
        </w:tc>
        <w:tc>
          <w:tcPr>
            <w:tcW w:w="688" w:type="pc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356924,20</w:t>
            </w:r>
          </w:p>
        </w:tc>
        <w:tc>
          <w:tcPr>
            <w:tcW w:w="537" w:type="pc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418" w:type="pct"/>
            <w:tcBorders>
              <w:lef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</w:t>
            </w:r>
          </w:p>
        </w:tc>
        <w:tc>
          <w:tcPr>
            <w:tcW w:w="688" w:type="pc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360541,9</w:t>
            </w:r>
          </w:p>
        </w:tc>
        <w:tc>
          <w:tcPr>
            <w:tcW w:w="754" w:type="pc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</w:t>
            </w:r>
          </w:p>
        </w:tc>
        <w:tc>
          <w:tcPr>
            <w:tcW w:w="688" w:type="pc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360541,90</w:t>
            </w:r>
          </w:p>
        </w:tc>
        <w:tc>
          <w:tcPr>
            <w:tcW w:w="537" w:type="pc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418" w:type="pct"/>
            <w:tcBorders>
              <w:lef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2017</w:t>
            </w:r>
          </w:p>
        </w:tc>
        <w:tc>
          <w:tcPr>
            <w:tcW w:w="688" w:type="pc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385779,84</w:t>
            </w:r>
          </w:p>
        </w:tc>
        <w:tc>
          <w:tcPr>
            <w:tcW w:w="754" w:type="pc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</w:t>
            </w:r>
          </w:p>
        </w:tc>
        <w:tc>
          <w:tcPr>
            <w:tcW w:w="688" w:type="pc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385779,84</w:t>
            </w:r>
          </w:p>
        </w:tc>
        <w:tc>
          <w:tcPr>
            <w:tcW w:w="537" w:type="pc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418" w:type="pct"/>
            <w:tcBorders>
              <w:lef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2018</w:t>
            </w:r>
          </w:p>
        </w:tc>
        <w:tc>
          <w:tcPr>
            <w:tcW w:w="688" w:type="pc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412784,42</w:t>
            </w:r>
          </w:p>
        </w:tc>
        <w:tc>
          <w:tcPr>
            <w:tcW w:w="754" w:type="pc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</w:t>
            </w:r>
          </w:p>
        </w:tc>
        <w:tc>
          <w:tcPr>
            <w:tcW w:w="688" w:type="pc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412784,42</w:t>
            </w:r>
          </w:p>
        </w:tc>
        <w:tc>
          <w:tcPr>
            <w:tcW w:w="537" w:type="pc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418" w:type="pct"/>
            <w:tcBorders>
              <w:left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Итого</w:t>
            </w:r>
          </w:p>
        </w:tc>
        <w:tc>
          <w:tcPr>
            <w:tcW w:w="688" w:type="pct"/>
            <w:tcBorders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1955240,05</w:t>
            </w:r>
          </w:p>
        </w:tc>
        <w:tc>
          <w:tcPr>
            <w:tcW w:w="754" w:type="pct"/>
            <w:tcBorders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45085,50</w:t>
            </w:r>
          </w:p>
        </w:tc>
        <w:tc>
          <w:tcPr>
            <w:tcW w:w="688" w:type="pct"/>
            <w:tcBorders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1910154,55</w:t>
            </w:r>
          </w:p>
        </w:tc>
        <w:tc>
          <w:tcPr>
            <w:tcW w:w="537" w:type="pct"/>
            <w:tcBorders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</w:t>
            </w:r>
          </w:p>
        </w:tc>
        <w:tc>
          <w:tcPr>
            <w:tcW w:w="904" w:type="pct"/>
            <w:tcBorders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</w:tr>
      <w:tr w:rsidR="00271817" w:rsidRPr="00612CEC" w:rsidTr="007709C5"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3988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1. В направлении создания и развития материально-технической базы информационного общества:</w:t>
            </w:r>
          </w:p>
        </w:tc>
      </w:tr>
      <w:tr w:rsidR="00271817" w:rsidRPr="00612CEC" w:rsidTr="007709C5">
        <w:tc>
          <w:tcPr>
            <w:tcW w:w="101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- состояние совокупности информационно-телекоммуникационных систем и интеграции информационных разнородных ресурсов, обеспечивающих необходимые условия для информационного взаимодействия организаций и граждан и удовлетворения их информационных потребностей, при этом уровень обеспечения </w:t>
            </w:r>
            <w:proofErr w:type="gramStart"/>
            <w:r w:rsidRPr="00612CEC">
              <w:rPr>
                <w:sz w:val="24"/>
                <w:szCs w:val="24"/>
              </w:rPr>
              <w:t>ИКТ-потребностей</w:t>
            </w:r>
            <w:proofErr w:type="gramEnd"/>
            <w:r w:rsidRPr="00612CEC">
              <w:rPr>
                <w:sz w:val="24"/>
                <w:szCs w:val="24"/>
              </w:rPr>
              <w:t xml:space="preserve"> к концу 2018 года составит не менее 90%;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2. В направлении формирования и совершенствования общественно-экономических отношений при переходе Ленинградской области к информационному обществу: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повышение экономических показателей за счет оперативности и достоверности информационного обеспечения процессов принятия решений, рационального расходования и экономии ресурсов, совершенствования нормативно-правовой базы обеспечения этих процессов, способствующих повышению бюджетной эффективности расходов на ИКТ ежегодно в объеме не менее 7% стоимости программы;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повышение занятости населения за счет предоставления гражданам возможностей выполнения работ, основанных на создании, обработке, оперативном получении и обмене электронной информацией и/или предоставлении информационных услуг, вне зависимости от их территориального места нахождения, уровень занятости населения повысится к концу программы не менее чем на 2% относительно начального периода;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3. </w:t>
            </w:r>
            <w:proofErr w:type="gramStart"/>
            <w:r w:rsidRPr="00612CEC">
              <w:rPr>
                <w:sz w:val="24"/>
                <w:szCs w:val="24"/>
              </w:rPr>
              <w:t xml:space="preserve">В направлении формирования и совершенствования информационных услуг по удовлетворению потребностей населения во всех сферах жизнедеятельности - повышение качества жизни населения за счет </w:t>
            </w:r>
            <w:r w:rsidRPr="00612CEC">
              <w:rPr>
                <w:sz w:val="24"/>
                <w:szCs w:val="24"/>
              </w:rPr>
              <w:lastRenderedPageBreak/>
              <w:t>совершенствования сервиса предоставляемых населению информационных услуг и реализации возможностей дистанционного интерактивного взаимодействия граждан с их поставщиками, оперативного получения требуемой информации в полном объеме в электронной форме и/или на бумажных носителях, при этом уровень удовлетворенности граждан качеством и доступностью</w:t>
            </w:r>
            <w:proofErr w:type="gramEnd"/>
            <w:r w:rsidRPr="00612CEC">
              <w:rPr>
                <w:sz w:val="24"/>
                <w:szCs w:val="24"/>
              </w:rPr>
              <w:t xml:space="preserve"> государственных услуг, предоставляемых в электронной форме, к концу 2018 года составит не менее 85%;</w:t>
            </w:r>
          </w:p>
        </w:tc>
      </w:tr>
      <w:tr w:rsidR="00271817" w:rsidRPr="00612CEC" w:rsidTr="007709C5">
        <w:tc>
          <w:tcPr>
            <w:tcW w:w="10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</w:p>
        </w:tc>
        <w:tc>
          <w:tcPr>
            <w:tcW w:w="3988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817" w:rsidRPr="00612CEC" w:rsidRDefault="00271817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4. В направлении обеспечения безопасности информационного общества - повысить уровень безопасности жизни и деятельности населения Ленинградской области в информационном обществе, обеспечить уровень не менее 100% защиты данных в государственных информационных системах</w:t>
            </w:r>
          </w:p>
        </w:tc>
      </w:tr>
    </w:tbl>
    <w:p w:rsidR="00B22AB5" w:rsidRDefault="00B22AB5">
      <w:bookmarkStart w:id="0" w:name="_GoBack"/>
      <w:bookmarkEnd w:id="0"/>
    </w:p>
    <w:sectPr w:rsidR="00B22AB5" w:rsidSect="001F037D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85"/>
    <w:rsid w:val="00146A85"/>
    <w:rsid w:val="001F037D"/>
    <w:rsid w:val="00271817"/>
    <w:rsid w:val="00B2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817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8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817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8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685659FE09830F5891E9E77222B62A50883C29311C5680AAEBB27A7C88FEE5DDA59028B368637FSFr2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8685659FE09830F5891E9E77222B62A50883C29311C5680AAEBB27A7C88FEE5DDA59028B3686D75SFr1F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8685659FE09830F5891E9E77222B62A50883C29311C5680AAEBB27A7C88FEE5DDA59028B3686F73SFr1F" TargetMode="External"/><Relationship Id="rId11" Type="http://schemas.openxmlformats.org/officeDocument/2006/relationships/hyperlink" Target="consultantplus://offline/ref=88685659FE09830F5891E9E77222B62A50893F233D1C5680AAEBB27A7C88FEE5DDA59028B3696B76SFr3F" TargetMode="External"/><Relationship Id="rId5" Type="http://schemas.openxmlformats.org/officeDocument/2006/relationships/hyperlink" Target="consultantplus://offline/ref=88685659FE09830F5891E9E77222B62A50883C29311C5680AAEBB27A7C88FEE5DDA59028B3686A70SFrEF" TargetMode="External"/><Relationship Id="rId10" Type="http://schemas.openxmlformats.org/officeDocument/2006/relationships/hyperlink" Target="consultantplus://offline/ref=88685659FE09830F5891E9E77222B62A5089342F36125680AAEBB27A7C88FEE5DDA59028B3696B76SFr1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685659FE09830F5891E9E77222B62A50883C29311C5680AAEBB27A7C88FEE5DDA59028B36B6A74SFrF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2868</Words>
  <Characters>16351</Characters>
  <Application>Microsoft Office Word</Application>
  <DocSecurity>0</DocSecurity>
  <Lines>136</Lines>
  <Paragraphs>38</Paragraphs>
  <ScaleCrop>false</ScaleCrop>
  <Company/>
  <LinksUpToDate>false</LinksUpToDate>
  <CharactersWithSpaces>19181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Васютина Ольга Валерьевна</dc:creator>
  <cp:keywords/>
  <dc:description/>
  <cp:lastModifiedBy>Васютина Ольга Валерьевна</cp:lastModifiedBy>
  <cp:revision>2</cp:revision>
  <dcterms:created xsi:type="dcterms:W3CDTF">2014-09-05T07:19:00Z</dcterms:created>
  <dcterms:modified xsi:type="dcterms:W3CDTF">2014-09-05T07:19:00Z</dcterms:modified>
</cp:coreProperties>
</file>