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54" w:rsidRPr="007D35EF" w:rsidRDefault="00194A54" w:rsidP="00AC06B5">
      <w:pPr>
        <w:pStyle w:val="ConsPlusNormal"/>
        <w:ind w:left="7788" w:hanging="275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D35EF">
        <w:rPr>
          <w:rFonts w:ascii="Times New Roman" w:hAnsi="Times New Roman" w:cs="Times New Roman"/>
          <w:sz w:val="28"/>
          <w:szCs w:val="28"/>
        </w:rPr>
        <w:t>УТВЕРЖДЕН</w:t>
      </w:r>
    </w:p>
    <w:p w:rsidR="00194A54" w:rsidRPr="007D35EF" w:rsidRDefault="00194A54" w:rsidP="00AC06B5">
      <w:pPr>
        <w:pStyle w:val="ConsPlusNormal"/>
        <w:ind w:left="7788" w:hanging="275"/>
        <w:rPr>
          <w:rFonts w:ascii="Times New Roman" w:hAnsi="Times New Roman" w:cs="Times New Roman"/>
          <w:sz w:val="28"/>
          <w:szCs w:val="28"/>
        </w:rPr>
      </w:pPr>
      <w:r w:rsidRPr="007D35EF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044117" w:rsidRPr="007D35EF" w:rsidRDefault="00044117" w:rsidP="00044117">
      <w:pPr>
        <w:widowControl w:val="0"/>
        <w:autoSpaceDE w:val="0"/>
        <w:autoSpaceDN w:val="0"/>
        <w:adjustRightInd w:val="0"/>
        <w:spacing w:after="0" w:line="240" w:lineRule="auto"/>
        <w:ind w:left="7080" w:hanging="1410"/>
        <w:rPr>
          <w:rFonts w:ascii="Times New Roman" w:hAnsi="Times New Roman"/>
          <w:sz w:val="28"/>
          <w:szCs w:val="28"/>
        </w:rPr>
      </w:pPr>
      <w:r w:rsidRPr="007D35EF">
        <w:rPr>
          <w:rFonts w:ascii="Times New Roman" w:hAnsi="Times New Roman"/>
          <w:sz w:val="28"/>
          <w:szCs w:val="28"/>
        </w:rPr>
        <w:t xml:space="preserve">          </w:t>
      </w:r>
      <w:r w:rsidR="004A27D4" w:rsidRPr="007D35EF">
        <w:rPr>
          <w:rFonts w:ascii="Times New Roman" w:hAnsi="Times New Roman"/>
          <w:sz w:val="28"/>
          <w:szCs w:val="28"/>
        </w:rPr>
        <w:t xml:space="preserve"> </w:t>
      </w:r>
    </w:p>
    <w:p w:rsidR="00194A54" w:rsidRPr="007D35EF" w:rsidRDefault="00194A54" w:rsidP="00AC06B5">
      <w:pPr>
        <w:pStyle w:val="ConsPlusNormal"/>
        <w:ind w:left="7788" w:hanging="275"/>
        <w:rPr>
          <w:rFonts w:ascii="Times New Roman" w:hAnsi="Times New Roman" w:cs="Times New Roman"/>
          <w:sz w:val="28"/>
          <w:szCs w:val="28"/>
        </w:rPr>
      </w:pPr>
      <w:r w:rsidRPr="007D35EF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3C15AF" w:rsidRPr="007D35EF">
        <w:rPr>
          <w:rFonts w:ascii="Times New Roman" w:hAnsi="Times New Roman" w:cs="Times New Roman"/>
          <w:sz w:val="28"/>
          <w:szCs w:val="28"/>
        </w:rPr>
        <w:t>1</w:t>
      </w:r>
      <w:r w:rsidR="004A27D4" w:rsidRPr="007D35EF">
        <w:rPr>
          <w:rFonts w:ascii="Times New Roman" w:hAnsi="Times New Roman" w:cs="Times New Roman"/>
          <w:sz w:val="28"/>
          <w:szCs w:val="28"/>
        </w:rPr>
        <w:t>26</w:t>
      </w:r>
      <w:r w:rsidRPr="007D35EF">
        <w:rPr>
          <w:rFonts w:ascii="Times New Roman" w:hAnsi="Times New Roman" w:cs="Times New Roman"/>
          <w:sz w:val="28"/>
          <w:szCs w:val="28"/>
        </w:rPr>
        <w:t>)</w:t>
      </w:r>
    </w:p>
    <w:p w:rsidR="00194A54" w:rsidRPr="007D35EF" w:rsidRDefault="00194A54" w:rsidP="00AC06B5">
      <w:pPr>
        <w:pStyle w:val="ConsPlusNormal"/>
        <w:ind w:left="7788" w:hanging="275"/>
        <w:rPr>
          <w:rFonts w:ascii="Times New Roman" w:hAnsi="Times New Roman" w:cs="Times New Roman"/>
          <w:sz w:val="28"/>
          <w:szCs w:val="28"/>
        </w:rPr>
      </w:pPr>
    </w:p>
    <w:p w:rsidR="00AC06B5" w:rsidRPr="007D35EF" w:rsidRDefault="00AC06B5" w:rsidP="002F730D">
      <w:pPr>
        <w:pStyle w:val="ConsPlusNormal"/>
        <w:ind w:left="7788"/>
        <w:rPr>
          <w:rFonts w:ascii="Times New Roman" w:hAnsi="Times New Roman" w:cs="Times New Roman"/>
          <w:sz w:val="28"/>
          <w:szCs w:val="28"/>
        </w:rPr>
      </w:pPr>
    </w:p>
    <w:p w:rsidR="00461EE5" w:rsidRPr="007D35EF" w:rsidRDefault="00461EE5" w:rsidP="00194A5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4A54" w:rsidRPr="007D35EF" w:rsidRDefault="002F730D" w:rsidP="002F730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5E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14122" w:rsidRPr="007D35EF">
        <w:rPr>
          <w:rFonts w:ascii="Times New Roman" w:hAnsi="Times New Roman" w:cs="Times New Roman"/>
          <w:b/>
          <w:bCs/>
          <w:sz w:val="28"/>
          <w:szCs w:val="28"/>
        </w:rPr>
        <w:t>ОРЯДОК</w:t>
      </w:r>
    </w:p>
    <w:p w:rsidR="00194A54" w:rsidRPr="007D35EF" w:rsidRDefault="002F730D" w:rsidP="002F730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5EF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государственных гарантий</w:t>
      </w:r>
      <w:r w:rsidR="00AC06B5" w:rsidRPr="007D35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35EF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194A54" w:rsidRPr="007D35EF" w:rsidRDefault="00194A54" w:rsidP="002F7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0796" w:rsidRPr="007D35EF" w:rsidRDefault="00F80796" w:rsidP="002F7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7D35EF" w:rsidRDefault="00194A54" w:rsidP="002F730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D35E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bookmarkEnd w:id="0"/>
    <w:p w:rsidR="00194A54" w:rsidRDefault="00194A54" w:rsidP="00194A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1.1. 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основания предоставления государственных гарантий Ленинградской области (далее </w:t>
      </w:r>
      <w:r w:rsidRPr="002F730D">
        <w:rPr>
          <w:rFonts w:ascii="Times New Roman" w:hAnsi="Times New Roman" w:cs="Times New Roman"/>
          <w:sz w:val="28"/>
          <w:szCs w:val="28"/>
        </w:rPr>
        <w:t>–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 гарантия, гарантии) муниципальным образованиям </w:t>
      </w:r>
      <w:r w:rsidRPr="002F730D">
        <w:rPr>
          <w:rFonts w:ascii="Times New Roman" w:hAnsi="Times New Roman" w:cs="Times New Roman"/>
          <w:sz w:val="28"/>
          <w:szCs w:val="28"/>
        </w:rPr>
        <w:t>Ленинградской области (далее – м</w:t>
      </w:r>
      <w:r w:rsidR="00194A54" w:rsidRPr="002F730D">
        <w:rPr>
          <w:rFonts w:ascii="Times New Roman" w:hAnsi="Times New Roman" w:cs="Times New Roman"/>
          <w:sz w:val="28"/>
          <w:szCs w:val="28"/>
        </w:rPr>
        <w:t>униципальные образования) и юридическим лицам, зарегистрированным на территории Российской Федерации, осуществляющим предпринимательскую деятельность на территории Ленинградской области или в интересах Ленинградской области, если иное не установлено настоящим Порядком.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 xml:space="preserve">Предоставление гарантий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7" w:history="1">
        <w:r w:rsidRPr="002F730D">
          <w:rPr>
            <w:rFonts w:ascii="Times New Roman" w:hAnsi="Times New Roman" w:cs="Times New Roman"/>
            <w:sz w:val="28"/>
            <w:szCs w:val="28"/>
          </w:rPr>
          <w:t>статьей 115.1</w:t>
        </w:r>
      </w:hyperlink>
      <w:r w:rsidRPr="002F730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94A54" w:rsidRPr="002F730D" w:rsidRDefault="00E76656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Предоставление гарантий регулируется Бюджетным </w:t>
      </w:r>
      <w:hyperlink r:id="rId8" w:history="1">
        <w:r w:rsidR="00194A54" w:rsidRPr="002F730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4A54" w:rsidRPr="002F730D">
        <w:rPr>
          <w:rFonts w:ascii="Times New Roman" w:hAnsi="Times New Roman" w:cs="Times New Roman"/>
          <w:sz w:val="28"/>
          <w:szCs w:val="28"/>
        </w:rPr>
        <w:t xml:space="preserve"> Российской Федерации, правовыми актами Ленинградской области, настоящим Порядком и осуществляется в пределах лимитов, установленных областным законом об областном бюджете Ленинградской области на текущий финансовый год и на плановый период на соответствующие цели.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1.3. Решение о предоставлении гарантии принимается Правительством Ленинградской области путем издания распоряжения.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1.4. Гарантия предусматривает субсидиарную ответственность гаранта по обеспеченному им обязательству принципала, если иное не установлено распоряжением Правительства Ленинградской области.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1.5. Гарантия, предоставляемая Правительством Ленинградской области в соответствии с настоящим Порядком, оформляется договором о предоставлении государственной гаранти</w:t>
      </w:r>
      <w:r w:rsidR="00F80796">
        <w:rPr>
          <w:rFonts w:ascii="Times New Roman" w:hAnsi="Times New Roman" w:cs="Times New Roman"/>
          <w:sz w:val="28"/>
          <w:szCs w:val="28"/>
        </w:rPr>
        <w:t>и Ленинградской области (далее –</w:t>
      </w:r>
      <w:r w:rsidRPr="002F730D">
        <w:rPr>
          <w:rFonts w:ascii="Times New Roman" w:hAnsi="Times New Roman" w:cs="Times New Roman"/>
          <w:sz w:val="28"/>
          <w:szCs w:val="28"/>
        </w:rPr>
        <w:t xml:space="preserve"> договор о предоставлении гарантии).</w:t>
      </w:r>
    </w:p>
    <w:p w:rsidR="00194A54" w:rsidRPr="002F730D" w:rsidRDefault="00F80796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При заключении договоров о предоставлении государственных гарантий Ленинградской области,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</w:t>
      </w:r>
      <w:r w:rsidR="00194A54" w:rsidRPr="002F730D">
        <w:rPr>
          <w:rFonts w:ascii="Times New Roman" w:hAnsi="Times New Roman" w:cs="Times New Roman"/>
          <w:sz w:val="28"/>
          <w:szCs w:val="28"/>
        </w:rPr>
        <w:lastRenderedPageBreak/>
        <w:t>по гарантии, финансовый орган Ленинградской области представляет Правительство Ленинградской области.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1.7. Договором о предоставлении гарантии устанавливаются следующие обязательства: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1) бенефициара: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уведомление в письменной форме финансового органа Ленинградской области о наступлении случая неисполнения принципалом своих обязательств,</w:t>
      </w:r>
      <w:r w:rsidR="00F80796">
        <w:rPr>
          <w:rFonts w:ascii="Times New Roman" w:hAnsi="Times New Roman" w:cs="Times New Roman"/>
          <w:sz w:val="28"/>
          <w:szCs w:val="28"/>
        </w:rPr>
        <w:t xml:space="preserve"> обеспеченных гарантией (далее –</w:t>
      </w:r>
      <w:r w:rsidRPr="002F730D">
        <w:rPr>
          <w:rFonts w:ascii="Times New Roman" w:hAnsi="Times New Roman" w:cs="Times New Roman"/>
          <w:sz w:val="28"/>
          <w:szCs w:val="28"/>
        </w:rPr>
        <w:t xml:space="preserve"> гарантийный случай), не позднее 10 рабочих дней с момента наступления гарантийного случая;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принятие всех предусмотренных законодательством Российской Федерации мер для погашения задолженности принципала;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подтверждение факта наступления гарантийного случая путем представления в финансовый орган Ленинградской области копий переписки с принципалом, содержащей требование погасить задолженность;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в случае предоставления гарантии под получение кредита (займа) представление в финансовый орган Ленинградской области заверенной выписки со ссудного счета принципала;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в случае исполнения гарантом обязательства, предусмотренного гарантией, передача в согласованный сторонами срок финансовому органу Ленинградской области документов, удостоверяющих требования к принципалу;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2) гаранта: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включение в объем (исключение из объема) обязательств гаранта по возмещению ущерба, образовавшегося при наступлении гарантийного случая некоммерческого характера.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1.8. </w:t>
      </w:r>
      <w:r w:rsidR="00194A54" w:rsidRPr="002F730D">
        <w:rPr>
          <w:rFonts w:ascii="Times New Roman" w:hAnsi="Times New Roman" w:cs="Times New Roman"/>
          <w:sz w:val="28"/>
          <w:szCs w:val="28"/>
        </w:rPr>
        <w:t>Обеспечение исполнения регрессных обязательств по гарантии должно составлять не менее 100 процентов объема обязательств по гарантии.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Оценка рыночной стоимости и ликвидности имущества, передаваемого в качестве обеспечения исполнения регрессных обязательств по гарантии, осуществляется независимым оценщиком в соответствии с законодательством Российской Федерации об оценочной деятельности. Предметом договора об обеспечении исполнения регрессных обязательств по гарантии не может являться имущество, находящееся в собственности Ленинградской области. Расходы, связанные с оформлением обеспечения, его оценкой и страхованием, несет залогодатель.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F730D">
        <w:rPr>
          <w:rFonts w:ascii="Times New Roman" w:hAnsi="Times New Roman" w:cs="Times New Roman"/>
          <w:b/>
          <w:sz w:val="28"/>
          <w:szCs w:val="28"/>
        </w:rPr>
        <w:t>2. Условия и порядок предоставления гарантий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2.1. Гарантии не могут быть предоставлены: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94A54" w:rsidRPr="002F730D">
        <w:rPr>
          <w:rFonts w:ascii="Times New Roman" w:hAnsi="Times New Roman" w:cs="Times New Roman"/>
          <w:sz w:val="28"/>
          <w:szCs w:val="28"/>
        </w:rPr>
        <w:t>для обеспечения исполнения обязательств федеральных государственных или муниципальных унитарных предприятий;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2) юридическим лицам: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находящимся в процессе реорганизации, ликвидации или несостоятельности (банкротства);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lastRenderedPageBreak/>
        <w:t>имеющим просроченную задолженность по предоставленным бюджетным средствам на возвратной основе и</w:t>
      </w:r>
      <w:r w:rsidR="00E76656">
        <w:rPr>
          <w:rFonts w:ascii="Times New Roman" w:hAnsi="Times New Roman" w:cs="Times New Roman"/>
          <w:sz w:val="28"/>
          <w:szCs w:val="28"/>
        </w:rPr>
        <w:t xml:space="preserve"> </w:t>
      </w:r>
      <w:r w:rsidRPr="002F730D">
        <w:rPr>
          <w:rFonts w:ascii="Times New Roman" w:hAnsi="Times New Roman" w:cs="Times New Roman"/>
          <w:sz w:val="28"/>
          <w:szCs w:val="28"/>
        </w:rPr>
        <w:t>(или) обязательным платежам в бюджеты всех уровней бюджетной системы Российской Федерации и государственные внебюджетные фонды;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3) муниципальным образованиям: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имеющим просроченную задолженность перед бюджетами других уровней бюджетной системы Российской Федерации по средствам, полученным на возвратной основе;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имеющим превышение предельных значений дефицита местного бюджета, предельных объемов муниципального долга и расходов по его обслуживанию.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194A54" w:rsidRPr="002F730D">
        <w:rPr>
          <w:rFonts w:ascii="Times New Roman" w:hAnsi="Times New Roman" w:cs="Times New Roman"/>
          <w:sz w:val="28"/>
          <w:szCs w:val="28"/>
        </w:rPr>
        <w:t>Предоставление гарантий осуществляется на платной основе за исключением: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гарантий, предоставляемых на выполнение мероприятий, финансирование которых полностью или частично осуществляется за счет средств областного бюджета;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гарантий, предоставляемых в соответствии с актами Правительства Российской Федерации в целях обеспечения долговых обязательств юридических лиц перед Российской Федерацией;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гарантий, предоставляемых муниципальным образованиям;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гарантий, предоставляемых на неинвестиционные цели.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 xml:space="preserve">Размер платы, взимаемой в областной бюджет, устанавливается </w:t>
      </w:r>
      <w:r w:rsidR="00BD5E83" w:rsidRPr="002F730D">
        <w:rPr>
          <w:rFonts w:ascii="Times New Roman" w:hAnsi="Times New Roman" w:cs="Times New Roman"/>
          <w:sz w:val="28"/>
          <w:szCs w:val="28"/>
        </w:rPr>
        <w:t>в соответствии с частью 5 статьи 13 настоящего областного закона</w:t>
      </w:r>
      <w:r w:rsidRPr="002F730D">
        <w:rPr>
          <w:rFonts w:ascii="Times New Roman" w:hAnsi="Times New Roman" w:cs="Times New Roman"/>
          <w:sz w:val="28"/>
          <w:szCs w:val="28"/>
        </w:rPr>
        <w:t>, но не более двух процентов от суммы обязательств, обеспечиваемых гарантией. В случае досрочного прекращения гарантийных обязательств плата за предоставление гарантии не возвращается.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2.3. Предоставление гарантий осуществляется при условии: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проведения анализа финансового состояния принципала (за исключением случаев, предусмотренных </w:t>
      </w:r>
      <w:hyperlink r:id="rId9" w:history="1">
        <w:r w:rsidR="00194A54" w:rsidRPr="002F730D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="00194A54" w:rsidRPr="002F730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 в порядке, установленном финансовым органом Ленинградской области;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94A54" w:rsidRPr="002F730D">
        <w:rPr>
          <w:rFonts w:ascii="Times New Roman" w:hAnsi="Times New Roman" w:cs="Times New Roman"/>
          <w:sz w:val="28"/>
          <w:szCs w:val="28"/>
        </w:rPr>
        <w:t>проведения экспертизы социально-экономической значимости и эффективности предлагаемого инвестиционного проекта (обязательства) органом исполнительной власти Ленинградской области, осуществляющим регулирование в сфере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экономической политики (далее –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 комитет экономического развития и инвестиционной деятельности Ленинградской области).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</w:t>
      </w:r>
      <w:r w:rsidR="00194A54" w:rsidRPr="002F730D">
        <w:rPr>
          <w:rFonts w:ascii="Times New Roman" w:hAnsi="Times New Roman" w:cs="Times New Roman"/>
          <w:sz w:val="28"/>
          <w:szCs w:val="28"/>
        </w:rPr>
        <w:t>Доля заемных средств, привлекаемых юридическим лицом под гарантию на инвестиционные цели, к общему объему инвестиций, необходимых для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>, не должна составлять более 75  </w:t>
      </w:r>
      <w:r w:rsidR="00194A54" w:rsidRPr="002F730D">
        <w:rPr>
          <w:rFonts w:ascii="Times New Roman" w:hAnsi="Times New Roman" w:cs="Times New Roman"/>
          <w:sz w:val="28"/>
          <w:szCs w:val="28"/>
        </w:rPr>
        <w:t>процентов.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Срок действия обязательства, обеспечиваемого гарантией, предоставляемой юридическому лицу на инвестиционные цели, не должен превышать срока окупаемости инвестиционного проекта.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lastRenderedPageBreak/>
        <w:t>2.5. Обязательным условием для получения гарантии на инвестиционные цели</w:t>
      </w:r>
      <w:r w:rsidR="00E76656">
        <w:rPr>
          <w:rFonts w:ascii="Times New Roman" w:hAnsi="Times New Roman" w:cs="Times New Roman"/>
          <w:sz w:val="28"/>
          <w:szCs w:val="28"/>
        </w:rPr>
        <w:t xml:space="preserve"> является наличие у принципала –</w:t>
      </w:r>
      <w:r w:rsidRPr="002F730D">
        <w:rPr>
          <w:rFonts w:ascii="Times New Roman" w:hAnsi="Times New Roman" w:cs="Times New Roman"/>
          <w:sz w:val="28"/>
          <w:szCs w:val="28"/>
        </w:rPr>
        <w:t xml:space="preserve"> юридического лица не менее </w:t>
      </w:r>
      <w:r w:rsidR="002F730D">
        <w:rPr>
          <w:rFonts w:ascii="Times New Roman" w:hAnsi="Times New Roman" w:cs="Times New Roman"/>
          <w:sz w:val="28"/>
          <w:szCs w:val="28"/>
        </w:rPr>
        <w:br/>
      </w:r>
      <w:r w:rsidRPr="002F730D">
        <w:rPr>
          <w:rFonts w:ascii="Times New Roman" w:hAnsi="Times New Roman" w:cs="Times New Roman"/>
          <w:sz w:val="28"/>
          <w:szCs w:val="28"/>
        </w:rPr>
        <w:t>25 процентов собственных средств от общего объема инвестиций, необходимых для реализации инвестиционного проекта.</w:t>
      </w:r>
    </w:p>
    <w:p w:rsidR="00194A54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F730D">
        <w:rPr>
          <w:rFonts w:ascii="Times New Roman" w:hAnsi="Times New Roman" w:cs="Times New Roman"/>
          <w:b/>
          <w:sz w:val="28"/>
          <w:szCs w:val="28"/>
        </w:rPr>
        <w:t>3. Порядок рассмотрения обращений и принятия решений</w:t>
      </w:r>
    </w:p>
    <w:p w:rsidR="00194A54" w:rsidRPr="002F730D" w:rsidRDefault="00194A54" w:rsidP="002F730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0D">
        <w:rPr>
          <w:rFonts w:ascii="Times New Roman" w:hAnsi="Times New Roman" w:cs="Times New Roman"/>
          <w:b/>
          <w:sz w:val="28"/>
          <w:szCs w:val="28"/>
        </w:rPr>
        <w:t>о предоставлении гарантий</w:t>
      </w:r>
    </w:p>
    <w:p w:rsidR="00194A54" w:rsidRPr="002F730D" w:rsidRDefault="00194A54" w:rsidP="002F730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Предоставление гарантий осуществляется после предоставления претендентом на получение гарантии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94A54" w:rsidRPr="002F730D">
        <w:rPr>
          <w:rFonts w:ascii="Times New Roman" w:hAnsi="Times New Roman" w:cs="Times New Roman"/>
          <w:sz w:val="28"/>
          <w:szCs w:val="28"/>
        </w:rPr>
        <w:t>ринципал) документов согласно перечню и в порядке, устанавливаемом Правительством Ленинградской области, со дня опубликования извещения о проведении отбора на право получения гарантий до исчерпания соответствующего лимита предоставления гарантий или завершения соответствующего финансового года.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3.2. Копии принятых документов на получение гарантии направляются финансовым органом Ленинградской области в трехдневный срок в адрес комитета экономического развития и инвестиционной деятельности Ленинградской области.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</w:t>
      </w:r>
      <w:r w:rsidR="00194A54" w:rsidRPr="002F730D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в установленном им порядке в течение 15 рабочих дней проводит анализ финансового состояния принципала.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Комитет экономического развития и инвестиционной деятельности Ленинградской области в установленном им порядке в течение 15 рабочих дней проводит анализ заявленного на получение гарантии инвестиционного проекта (обязательства) на предмет социально-экономической значимости и эффективности, в том числе бюджетной.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</w:t>
      </w:r>
      <w:r w:rsidR="00194A54" w:rsidRPr="002F730D">
        <w:rPr>
          <w:rFonts w:ascii="Times New Roman" w:hAnsi="Times New Roman" w:cs="Times New Roman"/>
          <w:sz w:val="28"/>
          <w:szCs w:val="28"/>
        </w:rPr>
        <w:t>Подготовленные финансовым органом Ленинградской области и комитетом экономического развития и инвестиционной деятельности Ленинградской области заключения вместе с поступившими от принципала документами направляются межведомственной комиссии по оказанию государственной поддержки путем предоставления государственных гаранти</w:t>
      </w:r>
      <w:r w:rsidR="00E76656">
        <w:rPr>
          <w:rFonts w:ascii="Times New Roman" w:hAnsi="Times New Roman" w:cs="Times New Roman"/>
          <w:sz w:val="28"/>
          <w:szCs w:val="28"/>
        </w:rPr>
        <w:t>й Ленинградской области (далее –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 комиссия), созданной в качестве коллегиального органа для рассмотрения заявок на получение гарантии и их отбора.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Положение о комиссии и ее состав утверждаются распоряжением Губернатора Ленинградской области.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3.5.</w:t>
      </w:r>
      <w:r w:rsidR="002F730D">
        <w:rPr>
          <w:rFonts w:ascii="Times New Roman" w:hAnsi="Times New Roman" w:cs="Times New Roman"/>
          <w:sz w:val="28"/>
          <w:szCs w:val="28"/>
        </w:rPr>
        <w:t> </w:t>
      </w:r>
      <w:r w:rsidRPr="002F730D">
        <w:rPr>
          <w:rFonts w:ascii="Times New Roman" w:hAnsi="Times New Roman" w:cs="Times New Roman"/>
          <w:sz w:val="28"/>
          <w:szCs w:val="28"/>
        </w:rPr>
        <w:t>К отбору допускаются только те принципалы, которые имеют положительное заключение финансового органа по результатам проведенного им анализа финансового состояния принципала в целях предоставления гарантии.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Основными критериями отбора заявок принципалов на получение гарантий являются следующие показатели: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1) по гарантиям на инвестиционные цели: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lastRenderedPageBreak/>
        <w:t>соответствие инвестиционного проекта приоритетным направлениям социально-экономической политики Ленинградской области;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бюджетная эффективность инвестиционного проекта;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социально-экономическая значимость и эффективность инвестиционного проекта, его финансовая реализуемость;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срок окупаемости инвестиционного проекта;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доля собственных средств принципала в общем объеме инвестиций, необходимых для реализации инвестиционного проекта;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надежность гарантии возврата заемных средств (уровень риска, ликвидность обеспечения исполнения регрессных обязательств по гарантии);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2) по гарантиям на неинвестиционные цели: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социально-экономическая значимость обязательства;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оценка финансового состояния принципала;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представленные принципалом предложения о способе обеспечения регрессных обязательств по гарантии.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3.6. </w:t>
      </w:r>
      <w:r w:rsidR="00194A54" w:rsidRPr="002F730D">
        <w:rPr>
          <w:rFonts w:ascii="Times New Roman" w:hAnsi="Times New Roman" w:cs="Times New Roman"/>
          <w:sz w:val="28"/>
          <w:szCs w:val="28"/>
        </w:rPr>
        <w:t>Решения комиссии об отборе принципала (иные решения) оформляются протоколом комиссии.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Финансовый орган Ленинградской области на основании указанных решений в течение 10 рабочих дней с даты их получения готовит и направляет в Правительство Ленинградской области проект распоряжения Правительства Ленинградской области о предоставлении гарантии.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В распоряжении Правительства Ленинградской области о предоставлении гарантии указываются наименование принципала, обязательство, которое обеспечивается гарантией, объем и срок действия гарантии, а также размер платы за предоставление гарантии в случае ее взимания.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 xml:space="preserve">3.7. На основании распоряжения, указанного в </w:t>
      </w:r>
      <w:hyperlink r:id="rId10" w:history="1">
        <w:r w:rsidRPr="002F730D">
          <w:rPr>
            <w:rFonts w:ascii="Times New Roman" w:hAnsi="Times New Roman" w:cs="Times New Roman"/>
            <w:sz w:val="28"/>
            <w:szCs w:val="28"/>
          </w:rPr>
          <w:t>пункте 3.6</w:t>
        </w:r>
      </w:hyperlink>
      <w:r w:rsidRPr="002F730D">
        <w:rPr>
          <w:rFonts w:ascii="Times New Roman" w:hAnsi="Times New Roman" w:cs="Times New Roman"/>
          <w:sz w:val="28"/>
          <w:szCs w:val="28"/>
        </w:rPr>
        <w:t xml:space="preserve"> настоящего Порядка, финансовый орган Ленинградской области представляет Правительство Ленинградской области при заключении с принципалом договора о предоставлении гарантии.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 xml:space="preserve">До заключения договора о предоставлении гарантии принципал обязан заключить с Правительством Ленинградской области в лице финансового органа Ленинградской области договор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(за исключением случаев, установленных </w:t>
      </w:r>
      <w:hyperlink r:id="rId11" w:history="1">
        <w:r w:rsidRPr="002F730D">
          <w:rPr>
            <w:rFonts w:ascii="Times New Roman" w:hAnsi="Times New Roman" w:cs="Times New Roman"/>
            <w:sz w:val="28"/>
            <w:szCs w:val="28"/>
          </w:rPr>
          <w:t>пунктом 1 статьи 115.2</w:t>
        </w:r>
      </w:hyperlink>
      <w:r w:rsidRPr="002F730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Иными обязательными условиями заключения договора о предоставлении гарантии являются: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принципалом –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 юридическим лицом дополнительных соглашений ко всем действующим договорам банковского счета, заключенным с кредитными организациями, предусматривающих право финансового органа Ленинградской области на бесспорное (безакцептное) списание находящихся на </w:t>
      </w:r>
      <w:r w:rsidR="00194A54" w:rsidRPr="002F730D">
        <w:rPr>
          <w:rFonts w:ascii="Times New Roman" w:hAnsi="Times New Roman" w:cs="Times New Roman"/>
          <w:sz w:val="28"/>
          <w:szCs w:val="28"/>
        </w:rPr>
        <w:lastRenderedPageBreak/>
        <w:t>счете денежных средств для погашения долговых обязательств принципала, возникающих в результате наступления гарантийных случаев;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 xml:space="preserve">осуществление принципалом платы в областной бюджет (за исключением случаев, предусмотренных </w:t>
      </w:r>
      <w:hyperlink r:id="rId12" w:history="1">
        <w:r w:rsidRPr="002F730D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2F730D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 xml:space="preserve">После предоставления гарантий финансовый орган Ленинградской области готовит проект областного закона о внесении изменений в областной закон об областном бюджете на текущий финансовый год и на плановый период с включением в Программу государственных гарантий Ленинградской области перечня предоставленных гарантий в соответствии с требованиями, установленными </w:t>
      </w:r>
      <w:hyperlink r:id="rId13" w:history="1">
        <w:r w:rsidRPr="002F730D">
          <w:rPr>
            <w:rFonts w:ascii="Times New Roman" w:hAnsi="Times New Roman" w:cs="Times New Roman"/>
            <w:sz w:val="28"/>
            <w:szCs w:val="28"/>
          </w:rPr>
          <w:t>статьей 110.2</w:t>
        </w:r>
      </w:hyperlink>
      <w:r w:rsidRPr="002F730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 соответствующим уменьшением лимитов предоставления гарантий.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F730D">
        <w:rPr>
          <w:rFonts w:ascii="Times New Roman" w:hAnsi="Times New Roman" w:cs="Times New Roman"/>
          <w:b/>
          <w:sz w:val="28"/>
          <w:szCs w:val="28"/>
        </w:rPr>
        <w:t>4. Учет и контроль предоставленных гарантий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4.1. На основании данных учета, осуществляемого финансовым органом Ленинградской области, о предоставленных гарантиях, исполнении принципалами своих обязательств, обеспеченных указанными гарантиями, а также учета осуществления гарантом платежей по выданным гарантиям Правительство Ленинградской области ежегодно вместе с отчетом об исполнении областного бюджета представляет Законодательному собранию Ленинградской области подробный отчет о предоставленных гарантиях по всем принципалам, об исполнении ими обязательств, обеспеченных указанными гарантиями, и осуществлении гарантом платежей по предоставленным гарантиям.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</w:t>
      </w:r>
      <w:r w:rsidR="00194A54" w:rsidRPr="002F730D">
        <w:rPr>
          <w:rFonts w:ascii="Times New Roman" w:hAnsi="Times New Roman" w:cs="Times New Roman"/>
          <w:sz w:val="28"/>
          <w:szCs w:val="28"/>
        </w:rPr>
        <w:t>При исполнении принципалом своих обязательств перед бенефициаром на соответствующую сумму сокращается государственный долг Ленинградской области.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4.3. Финансовый орган Ленинградской области осуществляет контроль за целевым использованием заимствований, привлеченных под гарантии, или выполнением иного обязательства, обеспеченного гарантией.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В случае предоставления гарантии на инвестиционные цели комитет экономического развития и инвестиционной деятельности Ленинградской области осуществляет анализ хода реализации инвестиционного проекта.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4.4. Контрольно-счетная палата Ленинградской области по поручению Законодательного собрания Ленинградской области, а также финансовый орган Ленинградской области осуществля</w:t>
      </w:r>
      <w:r w:rsidR="00271F07">
        <w:rPr>
          <w:rFonts w:ascii="Times New Roman" w:hAnsi="Times New Roman" w:cs="Times New Roman"/>
          <w:sz w:val="28"/>
          <w:szCs w:val="28"/>
        </w:rPr>
        <w:t>ю</w:t>
      </w:r>
      <w:r w:rsidRPr="002F730D">
        <w:rPr>
          <w:rFonts w:ascii="Times New Roman" w:hAnsi="Times New Roman" w:cs="Times New Roman"/>
          <w:sz w:val="28"/>
          <w:szCs w:val="28"/>
        </w:rPr>
        <w:t>т проверку финансового состояния принципала и соблюдение им целей гарантирования в любое время действия гарантии.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F730D">
        <w:rPr>
          <w:rFonts w:ascii="Times New Roman" w:hAnsi="Times New Roman" w:cs="Times New Roman"/>
          <w:b/>
          <w:sz w:val="28"/>
          <w:szCs w:val="28"/>
        </w:rPr>
        <w:t>5. Исполнение обязательств по предоставленным гарантиям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t>5.1. Гарант несет ответственность перед бенефициаром за неисполнение принципалом предусмотренных гарантией обязательств в соответствии с договором о предоставлении гарантии.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30D">
        <w:rPr>
          <w:rFonts w:ascii="Times New Roman" w:hAnsi="Times New Roman" w:cs="Times New Roman"/>
          <w:sz w:val="28"/>
          <w:szCs w:val="28"/>
        </w:rPr>
        <w:lastRenderedPageBreak/>
        <w:t>5.2. Исполнение гарантии осуществляется за счет средств областного бюджета, предусмотренных на указанные цели в областном законе об областном бюджете на соответствующий финансовый год.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</w:t>
      </w:r>
      <w:r w:rsidR="00194A54" w:rsidRPr="002F730D">
        <w:rPr>
          <w:rFonts w:ascii="Times New Roman" w:hAnsi="Times New Roman" w:cs="Times New Roman"/>
          <w:sz w:val="28"/>
          <w:szCs w:val="28"/>
        </w:rPr>
        <w:t>Сведения об исполнении гарантии учитываются при расчете государственного долга Ленинградской области.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5.4. 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Гарант до удовлетворения требования, предъявленного ему бенефициаром, в установленный договором о предоставлении гарантии срок должен предупредить об этом принципала, а </w:t>
      </w:r>
      <w:r>
        <w:rPr>
          <w:rFonts w:ascii="Times New Roman" w:hAnsi="Times New Roman" w:cs="Times New Roman"/>
          <w:sz w:val="28"/>
          <w:szCs w:val="28"/>
        </w:rPr>
        <w:t>если к гаранту предъявлен иск, –</w:t>
      </w:r>
      <w:r w:rsidR="00194A54" w:rsidRPr="002F730D">
        <w:rPr>
          <w:rFonts w:ascii="Times New Roman" w:hAnsi="Times New Roman" w:cs="Times New Roman"/>
          <w:sz w:val="28"/>
          <w:szCs w:val="28"/>
        </w:rPr>
        <w:t xml:space="preserve"> привлечь принципала к участию в деле.</w:t>
      </w:r>
    </w:p>
    <w:p w:rsidR="00194A54" w:rsidRPr="002F730D" w:rsidRDefault="002F730D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5.5. </w:t>
      </w:r>
      <w:r w:rsidR="00194A54" w:rsidRPr="002F730D">
        <w:rPr>
          <w:rFonts w:ascii="Times New Roman" w:hAnsi="Times New Roman" w:cs="Times New Roman"/>
          <w:sz w:val="28"/>
          <w:szCs w:val="28"/>
        </w:rPr>
        <w:t>Гарант, исполнивший обязательство принципала, имеет право потребовать от последнего возмещения сумм, уплаченных по гарантии, в полном объеме в порядке, предусмотренном гражданским законодательством Российской Федерации и договором о предоставлении гарантии.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194A54" w:rsidRPr="002F730D" w:rsidRDefault="00194A54" w:rsidP="002F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94A54" w:rsidRPr="002F730D" w:rsidSect="00E76656">
      <w:headerReference w:type="default" r:id="rId14"/>
      <w:footerReference w:type="even" r:id="rId15"/>
      <w:pgSz w:w="11906" w:h="16838"/>
      <w:pgMar w:top="1134" w:right="851" w:bottom="1134" w:left="130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027" w:rsidRDefault="00DA7027">
      <w:r>
        <w:separator/>
      </w:r>
    </w:p>
  </w:endnote>
  <w:endnote w:type="continuationSeparator" w:id="0">
    <w:p w:rsidR="00DA7027" w:rsidRDefault="00DA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E5" w:rsidRDefault="00AC5778" w:rsidP="000070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E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1EE5" w:rsidRDefault="00461EE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027" w:rsidRDefault="00DA7027">
      <w:r>
        <w:separator/>
      </w:r>
    </w:p>
  </w:footnote>
  <w:footnote w:type="continuationSeparator" w:id="0">
    <w:p w:rsidR="00DA7027" w:rsidRDefault="00DA7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56" w:rsidRPr="00E76656" w:rsidRDefault="00AC5778">
    <w:pPr>
      <w:pStyle w:val="a5"/>
      <w:jc w:val="right"/>
      <w:rPr>
        <w:rFonts w:ascii="Times New Roman" w:hAnsi="Times New Roman"/>
        <w:sz w:val="24"/>
        <w:szCs w:val="24"/>
      </w:rPr>
    </w:pPr>
    <w:r w:rsidRPr="00E76656">
      <w:rPr>
        <w:rFonts w:ascii="Times New Roman" w:hAnsi="Times New Roman"/>
        <w:sz w:val="24"/>
        <w:szCs w:val="24"/>
      </w:rPr>
      <w:fldChar w:fldCharType="begin"/>
    </w:r>
    <w:r w:rsidR="00E76656" w:rsidRPr="00E76656">
      <w:rPr>
        <w:rFonts w:ascii="Times New Roman" w:hAnsi="Times New Roman"/>
        <w:sz w:val="24"/>
        <w:szCs w:val="24"/>
      </w:rPr>
      <w:instrText xml:space="preserve"> PAGE   \* MERGEFORMAT </w:instrText>
    </w:r>
    <w:r w:rsidRPr="00E76656">
      <w:rPr>
        <w:rFonts w:ascii="Times New Roman" w:hAnsi="Times New Roman"/>
        <w:sz w:val="24"/>
        <w:szCs w:val="24"/>
      </w:rPr>
      <w:fldChar w:fldCharType="separate"/>
    </w:r>
    <w:r w:rsidR="007D35EF">
      <w:rPr>
        <w:rFonts w:ascii="Times New Roman" w:hAnsi="Times New Roman"/>
        <w:noProof/>
        <w:sz w:val="24"/>
        <w:szCs w:val="24"/>
      </w:rPr>
      <w:t>6</w:t>
    </w:r>
    <w:r w:rsidRPr="00E7665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bfe4837-3fbd-4432-a7c7-bf4c5039e1d1"/>
  </w:docVars>
  <w:rsids>
    <w:rsidRoot w:val="00194A54"/>
    <w:rsid w:val="0000708D"/>
    <w:rsid w:val="00044117"/>
    <w:rsid w:val="0007339E"/>
    <w:rsid w:val="0009236F"/>
    <w:rsid w:val="000D3CC8"/>
    <w:rsid w:val="00194A54"/>
    <w:rsid w:val="00254875"/>
    <w:rsid w:val="00271F07"/>
    <w:rsid w:val="002F730D"/>
    <w:rsid w:val="003427EE"/>
    <w:rsid w:val="003C15AF"/>
    <w:rsid w:val="00461EE5"/>
    <w:rsid w:val="004A27D4"/>
    <w:rsid w:val="004D5009"/>
    <w:rsid w:val="004F0F41"/>
    <w:rsid w:val="005C7900"/>
    <w:rsid w:val="00757321"/>
    <w:rsid w:val="007D35EF"/>
    <w:rsid w:val="00886528"/>
    <w:rsid w:val="00A14122"/>
    <w:rsid w:val="00AC06B5"/>
    <w:rsid w:val="00AC5778"/>
    <w:rsid w:val="00B167D7"/>
    <w:rsid w:val="00B80BF2"/>
    <w:rsid w:val="00BB460B"/>
    <w:rsid w:val="00BD5E83"/>
    <w:rsid w:val="00CA5231"/>
    <w:rsid w:val="00CB7972"/>
    <w:rsid w:val="00DA7027"/>
    <w:rsid w:val="00E76656"/>
    <w:rsid w:val="00EA5464"/>
    <w:rsid w:val="00EB7B31"/>
    <w:rsid w:val="00F51B95"/>
    <w:rsid w:val="00F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A54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461EE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1EE5"/>
  </w:style>
  <w:style w:type="paragraph" w:styleId="a5">
    <w:name w:val="header"/>
    <w:basedOn w:val="a"/>
    <w:link w:val="a6"/>
    <w:uiPriority w:val="99"/>
    <w:unhideWhenUsed/>
    <w:rsid w:val="002F73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3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A2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7E931E1B2AEDF63CDDEF811C1FF6EF5E3048BE33E00CDA27C3511D0DD37H" TargetMode="External"/><Relationship Id="rId13" Type="http://schemas.openxmlformats.org/officeDocument/2006/relationships/hyperlink" Target="consultantplus://offline/ref=6407E931E1B2AEDF63CDDEF811C1FF6EF5E3048BE33E00CDA27C3511D0D7D8854E91C7C4695CDB3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07E931E1B2AEDF63CDDEF811C1FF6EF5E3048BE33E00CDA27C3511D0D7D8854E91C7C7685BDB30H" TargetMode="External"/><Relationship Id="rId12" Type="http://schemas.openxmlformats.org/officeDocument/2006/relationships/hyperlink" Target="consultantplus://offline/ref=6407E931E1B2AEDF63CDC1E904C1FF6EF5E5018DE63800CDA27C3511D0D7D8854E91C7C46157BB22DB3BH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07E931E1B2AEDF63CDDEF811C1FF6EF5E3048BE33E00CDA27C3511D0D7D8854E91C7C4685DDB33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6407E931E1B2AEDF63CDC1E904C1FF6EF5E5018DE63800CDA27C3511D0D7D8854E91C7C46157BB21DB3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07E931E1B2AEDF63CDDEF811C1FF6EF5E3048BE33E00CDA27C3511D0D7D8854E91C7C4685DDB33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2371</Words>
  <Characters>13521</Characters>
  <Application>Microsoft Office Word</Application>
  <DocSecurity>0</DocSecurity>
  <Lines>112</Lines>
  <Paragraphs>31</Paragraphs>
  <ScaleCrop>false</ScaleCrop>
  <Company>Hewlett-Packard Company</Company>
  <LinksUpToDate>false</LinksUpToDate>
  <CharactersWithSpaces>15861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Княжеская Людмила Николаевна</dc:creator>
  <cp:lastModifiedBy>Рыженкова Елена Николаевна</cp:lastModifiedBy>
  <cp:revision>5</cp:revision>
  <cp:lastPrinted>2014-10-07T11:23:00Z</cp:lastPrinted>
  <dcterms:created xsi:type="dcterms:W3CDTF">2013-12-25T14:50:00Z</dcterms:created>
  <dcterms:modified xsi:type="dcterms:W3CDTF">2014-10-07T11:23:00Z</dcterms:modified>
</cp:coreProperties>
</file>