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0" w:after="8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ПОЯСНИТЕЛЬНАЯ ЗАПИСКА</w:t>
      </w:r>
    </w:p>
    <w:p>
      <w:pPr>
        <w:pStyle w:val="BodyText"/>
        <w:spacing w:before="0" w:after="8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 проекту федерального закона «О внесении изменения в статью 6 Федерального закона «Об оружии»</w:t>
      </w:r>
    </w:p>
    <w:p>
      <w:pPr>
        <w:pStyle w:val="BodyText"/>
        <w:widowControl/>
        <w:bidi w:val="0"/>
        <w:spacing w:lineRule="auto" w:line="276" w:before="0" w:after="83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проект федерального закона подготовлен во исполнение </w:t>
      </w:r>
      <w:r>
        <w:rPr>
          <w:rFonts w:ascii="Times New Roman" w:hAnsi="Times New Roman"/>
          <w:b w:val="false"/>
          <w:sz w:val="28"/>
          <w:szCs w:val="28"/>
        </w:rPr>
        <w:t xml:space="preserve">Постановления Совета Федерации от 8 октября 2025 года № 434-СФ </w:t>
        <w:br/>
        <w:t>«О государственной поддержке социально-экономического развития Чукотского автономного округа»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BodyText"/>
        <w:widowControl/>
        <w:bidi w:val="0"/>
        <w:spacing w:lineRule="auto" w:line="276" w:before="0" w:after="83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Актуальность законопроекта связана с давно назревшей необходимостью поиска законодательных решений в сфере обеспечения сохранности оружия, </w:t>
        <w:br/>
        <w:t xml:space="preserve">а также жизни людей и безопасности их труда в сфере традиционного промысла, поскольку специфика территорий Российской Федерации в районах Крайнего Севера и приравненных к ним местностях не позволяет в полной мере реализовать прямые предписания и запреты, установленные отдельными положениями Федерального закона от 13 декабря 1996 года № 150-ФЗ </w:t>
        <w:br/>
        <w:t>«Об оружии» (далее - Федеральный закон «Об оружии»).</w:t>
      </w:r>
    </w:p>
    <w:p>
      <w:pPr>
        <w:pStyle w:val="BodyText"/>
        <w:widowControl/>
        <w:bidi w:val="0"/>
        <w:spacing w:lineRule="auto" w:line="276" w:before="0" w:after="83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«Об оружии» у организаций всех форм собственности, занимающихся оленеводством, а также осуществляющих рыболовство в отношении морских млекопитающих, есть право на приобретение и использование охотничьего огнестрельного оружия, в том числе с нарезным стволом.</w:t>
      </w:r>
    </w:p>
    <w:p>
      <w:pPr>
        <w:pStyle w:val="BodyText"/>
        <w:widowControl/>
        <w:bidi w:val="0"/>
        <w:spacing w:lineRule="auto" w:line="276" w:before="0" w:after="83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пункту 65 </w:t>
      </w:r>
      <w:r>
        <w:rPr>
          <w:rFonts w:ascii="Times New Roman" w:hAnsi="Times New Roman"/>
          <w:i w:val="false"/>
          <w:sz w:val="28"/>
          <w:szCs w:val="28"/>
          <w:u w:val="none"/>
        </w:rPr>
        <w:t>Постановления Правительства Российской Федерации от 21 июля 1998 года № 814</w:t>
      </w:r>
      <w:r>
        <w:rPr>
          <w:rFonts w:ascii="Times New Roman" w:hAnsi="Times New Roman"/>
          <w:sz w:val="28"/>
          <w:szCs w:val="28"/>
        </w:rPr>
        <w:t xml:space="preserve"> «О мерах по регулированию оборота гражданского и служебного оружия и патронов к нему на территории Российской Федерации» (вместе с «Правилами оборота гражданского и служебного оружия и патронов к нему на территории Российской Федерации», «Положением о ведении и издании Государственного кадастра гражданского и служебного оружия и патронов к нему») (далее - Постановление Правительства Российской Федерации от 21 июля 1998 года № 814) организации, занимающиеся оленеводством, а также специализированные предприятия, ведущие охотничий или морской зверобойный промысел, имеют право постоянного использования такого оружия для охраны поголовья оленей от крупных хищников, а специализированные предприятия, ведущие морской зверобойный промысел, - для добычи китообразных и ластоногих в пределах установленных квот.</w:t>
      </w:r>
    </w:p>
    <w:p>
      <w:pPr>
        <w:pStyle w:val="BodyText"/>
        <w:widowControl/>
        <w:bidi w:val="0"/>
        <w:spacing w:lineRule="auto" w:line="276" w:before="0" w:after="83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Вместе с тем оленеводческие хозяйства и морзверобои не имеют возможности обеспечить исполнение всех требований, предъявляемых к хранению оружия и патронов.</w:t>
      </w:r>
    </w:p>
    <w:p>
      <w:pPr>
        <w:pStyle w:val="BodyText"/>
        <w:widowControl/>
        <w:bidi w:val="0"/>
        <w:spacing w:lineRule="auto" w:line="276" w:before="0" w:after="83"/>
        <w:ind w:firstLine="68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частности, согласно пункту 13 статьи 6 Федерального закона </w:t>
        <w:br/>
        <w:t>«Об оружии» на территории Российской Федерации запрещается хранение юридическими лицами (за исключением государственных военизированных организаций) оружия в помещениях, предназначенных для его хранения, не оборудованных охранной сигнализацией с выводом на пульт охраны организаций, имеющих право в соответствии с законодательством Российской Федерации осуществлять охрану соответствующих помещений.</w:t>
      </w:r>
    </w:p>
    <w:p>
      <w:pPr>
        <w:pStyle w:val="BodyText"/>
        <w:widowControl/>
        <w:bidi w:val="0"/>
        <w:spacing w:lineRule="auto" w:line="276" w:before="0" w:after="83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в целях обеспечения постоянной охраны помещения для хранения оружия и патронов все рубежи охранной сигнализации, а также средства тревожной сигнализации должны быть подключены на пульт централизованного наблюдения вневедомственной охраны войск национальной гвардии Российской Федерации по местонахождению помещения для хранения оружия и патронов или на пульт централизованного наблюдения либо на пост круглосуточной вооруженной охраны охранной организации.</w:t>
      </w:r>
    </w:p>
    <w:p>
      <w:pPr>
        <w:pStyle w:val="BodyText"/>
        <w:widowControl/>
        <w:bidi w:val="0"/>
        <w:spacing w:lineRule="auto" w:line="276" w:before="0" w:after="83"/>
        <w:ind w:firstLine="68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Данное требование, предъявляемое к охране помещений для хранения оружия и патронов, является невыполнимым для оленеводов и морзверобоев в малонаселенных и труднодоступных населенных пунктах, поскольку введение в селах численностью 200-300 человек структур вневедомственной охраны Росгвардии считается нецелесообразным, а открытие частных охранных предприятий связано с неподъемными финансовыми затратами для собственников оружейных комнат. Кроме того, отсутствует надежная сеть покрытия сотовой связи и доступа к информационно-телекоммуникационной сети «Интернет».</w:t>
      </w:r>
    </w:p>
    <w:p>
      <w:pPr>
        <w:pStyle w:val="BodyText"/>
        <w:widowControl/>
        <w:bidi w:val="0"/>
        <w:spacing w:lineRule="auto" w:line="276" w:before="0" w:after="83"/>
        <w:ind w:firstLine="68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Следовательно, охранные организации в малочисленных населенных пунктах просто отсутствуют и выполнить требования законодательства о подключении сигнализации на пульт охраны невозможно.</w:t>
      </w:r>
    </w:p>
    <w:p>
      <w:pPr>
        <w:pStyle w:val="BodyText"/>
        <w:widowControl/>
        <w:bidi w:val="0"/>
        <w:spacing w:lineRule="auto" w:line="276" w:before="0" w:after="83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действующей нормы пункта 13 статьи 6 Федерального закона «Об оружии» оружейные комнаты закрываются, численность оружия в предприятиях, занимающихся оленеводством и морзверобойным промыслом, сокращается.</w:t>
      </w:r>
    </w:p>
    <w:p>
      <w:pPr>
        <w:pStyle w:val="BodyText"/>
        <w:widowControl/>
        <w:bidi w:val="0"/>
        <w:spacing w:lineRule="auto" w:line="276" w:before="0" w:after="83"/>
        <w:ind w:firstLine="68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Ввиду того, что</w:t>
      </w:r>
      <w:r>
        <w:rPr>
          <w:rFonts w:ascii="Times New Roman" w:hAnsi="Times New Roman"/>
          <w:sz w:val="28"/>
          <w:szCs w:val="28"/>
        </w:rPr>
        <w:t xml:space="preserve"> обеспечение </w:t>
      </w:r>
      <w:r>
        <w:rPr>
          <w:rFonts w:ascii="Times New Roman" w:hAnsi="Times New Roman"/>
          <w:sz w:val="28"/>
          <w:szCs w:val="28"/>
          <w:u w:val="single"/>
        </w:rPr>
        <w:t>законного</w:t>
      </w:r>
      <w:r>
        <w:rPr>
          <w:rFonts w:ascii="Times New Roman" w:hAnsi="Times New Roman"/>
          <w:sz w:val="28"/>
          <w:szCs w:val="28"/>
        </w:rPr>
        <w:t xml:space="preserve"> владения и применения огнестрельного оружия оленеводами и морзверобоями невозможно, </w:t>
      </w:r>
      <w:r>
        <w:rPr>
          <w:rFonts w:ascii="Times New Roman" w:hAnsi="Times New Roman"/>
          <w:b w:val="false"/>
          <w:bCs w:val="false"/>
          <w:sz w:val="28"/>
          <w:szCs w:val="28"/>
        </w:rPr>
        <w:t>без использования оружия в условиях тундры опасности подвергаются не только поголовье оленей, но и пастушеские бригады.</w:t>
      </w:r>
    </w:p>
    <w:p>
      <w:pPr>
        <w:pStyle w:val="BodyText"/>
        <w:widowControl/>
        <w:bidi w:val="0"/>
        <w:spacing w:lineRule="auto" w:line="276" w:before="0" w:after="83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Некоторые пастухи в прямом смысле отбиваются от медведей ножами. Последний такой случай произошел 16 мая 2025 года во время отела, когда оленей часто преследуют хищники. Медведь напал на двух оленеводов, повалил и начал грызть одного из них. Опытный охотник не растерялся, и стал отбиваться ножом, второй пришел на помощь, и вдвоем они забили медведя, получив серьезные травмы. К счастью, обошлось госпитализацией, но происходят и трагические инциденты. У человека без оружия против лютого зверя шансов практически нет. Морзверобоям без оружия китов не добыть вообще. </w:t>
      </w:r>
    </w:p>
    <w:p>
      <w:pPr>
        <w:pStyle w:val="BodyText"/>
        <w:widowControl/>
        <w:bidi w:val="0"/>
        <w:spacing w:lineRule="auto" w:line="276" w:before="0" w:after="83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этим, с целью защиты традиционных образа жизни и хозяйственной деятельности коренных малочисленных народов Севера, поддержки развития северного оленеводства и морского зверобойного промысла полагаем необходимым для организаций всех форм собственности, занимающихся оленеводством и морзверобойным промыслом, упростить требования к хранению оружия и патронов в специально оборудованных помещениях при условии обеспечения ими сохранности оружия и патронов, безопасности их хранения и исключения доступа к ним посторонних лиц.</w:t>
      </w:r>
    </w:p>
    <w:p>
      <w:pPr>
        <w:pStyle w:val="BodyText"/>
        <w:widowControl/>
        <w:bidi w:val="0"/>
        <w:spacing w:lineRule="auto" w:line="276" w:before="0" w:after="83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Для решения данного вопроса в законопроекте «</w:t>
      </w:r>
      <w:r>
        <w:rPr>
          <w:rFonts w:ascii="Times New Roman" w:hAnsi="Times New Roman"/>
          <w:sz w:val="28"/>
          <w:szCs w:val="28"/>
        </w:rPr>
        <w:t>О вн</w:t>
      </w:r>
      <w:r>
        <w:rPr>
          <w:rFonts w:ascii="Times New Roman" w:hAnsi="Times New Roman"/>
          <w:b w:val="false"/>
          <w:caps w:val="false"/>
          <w:smallCaps w:val="false"/>
          <w:color w:val="000000"/>
          <w:spacing w:val="0"/>
          <w:sz w:val="28"/>
          <w:szCs w:val="28"/>
        </w:rPr>
        <w:t>есении изменения в статью 6 Федерального закона «Об оружии» предлагаем следующее:</w:t>
      </w:r>
    </w:p>
    <w:p>
      <w:pPr>
        <w:pStyle w:val="BodyText"/>
        <w:widowControl/>
        <w:bidi w:val="0"/>
        <w:spacing w:lineRule="auto" w:line="276" w:before="0" w:after="83"/>
        <w:ind w:firstLine="73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caps w:val="false"/>
          <w:smallCaps w:val="false"/>
          <w:color w:val="000000"/>
          <w:spacing w:val="0"/>
          <w:sz w:val="28"/>
          <w:szCs w:val="28"/>
        </w:rPr>
        <w:t>- изменение редакции правоприменительных норм, устанавливающих запрет на хранение юридическими лицами (за исключением государственных военизированных организаций) оружия в помещениях, предназначенных для его хранения,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  <w:t>не оборудованных охранной сигнализацией с выводом на пульт охраны организаций,</w:t>
      </w:r>
      <w:r>
        <w:rPr>
          <w:rFonts w:ascii="Times New Roman" w:hAnsi="Times New Roman"/>
          <w:b w:val="false"/>
          <w:caps w:val="false"/>
          <w:smallCaps w:val="false"/>
          <w:color w:val="000000"/>
          <w:spacing w:val="0"/>
          <w:sz w:val="28"/>
          <w:szCs w:val="28"/>
        </w:rPr>
        <w:t xml:space="preserve"> имеющих право в соответствии с законодательством Российской Федерации осуществлять охрану соответствующих помещений.</w:t>
      </w:r>
    </w:p>
    <w:p>
      <w:pPr>
        <w:pStyle w:val="BodyText"/>
        <w:spacing w:before="0" w:after="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caps w:val="false"/>
          <w:smallCaps w:val="false"/>
          <w:color w:val="000000"/>
          <w:spacing w:val="0"/>
          <w:sz w:val="28"/>
          <w:szCs w:val="28"/>
        </w:rPr>
        <w:tab/>
        <w:t>Действующая редакция указанной нормы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является императивной. </w:t>
      </w:r>
    </w:p>
    <w:p>
      <w:pPr>
        <w:pStyle w:val="BodyText"/>
        <w:widowControl/>
        <w:bidi w:val="0"/>
        <w:spacing w:lineRule="auto" w:line="276" w:before="0" w:after="83"/>
        <w:ind w:firstLine="68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Вместе с тем, полагаем, что «оборудование помещения сигнализацией с выводом на пульт охраны» может являться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  <w:t>лишь одним из способов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</w:rPr>
        <w:t>обеспечения сохранности оружия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, но не единственным возможным вариантом, который можно было бы реализовать, учитывая специфику территорий районов Крайнего Севера. </w:t>
      </w:r>
    </w:p>
    <w:p>
      <w:pPr>
        <w:pStyle w:val="BodyText"/>
        <w:widowControl/>
        <w:bidi w:val="0"/>
        <w:spacing w:lineRule="auto" w:line="276" w:before="0" w:after="83"/>
        <w:ind w:firstLine="68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законопроектом предлагается исключить из текста пункта 13 статьи 6 Федерального закона «Об оружии» положения, регламентирующие обязательность оборудования помещений охранной сигнализацией с выводом на пульт охраны, изложив указанную структурную единицу в новой редакции: </w:t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«13)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</w:rPr>
        <w:t xml:space="preserve">хранение юридическими лицами (за исключением государственных  военизированных организаций) оружия в помещениях, предназначенных для его хранения,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single"/>
        </w:rPr>
        <w:t>не соответствующих правилам, установленным Правительством Российской Федерации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</w:rPr>
        <w:t>, в сфере оборота гражданского и служебного оружия и патронов к нему на территории Российской Федерации;».</w:t>
      </w:r>
    </w:p>
    <w:p>
      <w:pPr>
        <w:pStyle w:val="BodyText"/>
        <w:widowControl/>
        <w:bidi w:val="0"/>
        <w:spacing w:lineRule="auto" w:line="276" w:before="0" w:after="83"/>
        <w:ind w:firstLine="68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этом, </w:t>
      </w:r>
      <w:r>
        <w:rPr>
          <w:rFonts w:ascii="Times New Roman" w:hAnsi="Times New Roman"/>
          <w:sz w:val="28"/>
          <w:szCs w:val="28"/>
          <w:u w:val="single"/>
        </w:rPr>
        <w:t>сохраняя обязательность и необходимость</w:t>
      </w:r>
      <w:r>
        <w:rPr>
          <w:rFonts w:ascii="Times New Roman" w:hAnsi="Times New Roman"/>
          <w:sz w:val="28"/>
          <w:szCs w:val="28"/>
        </w:rPr>
        <w:t xml:space="preserve"> такого требования как «оборудование помещения охранной сигнализацией с выводом на пульт охраны уполномоченных организаций», </w:t>
      </w:r>
      <w:r>
        <w:rPr>
          <w:rFonts w:ascii="Times New Roman" w:hAnsi="Times New Roman"/>
          <w:i w:val="false"/>
          <w:sz w:val="28"/>
          <w:szCs w:val="28"/>
        </w:rPr>
        <w:t>предлагается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 w:val="false"/>
          <w:sz w:val="28"/>
          <w:szCs w:val="28"/>
          <w:u w:val="single"/>
        </w:rPr>
        <w:t>перенести данную правовую норму в Постановление Правительства Российской Федерации от 21 июля 1998 года № 814</w:t>
      </w:r>
      <w:r>
        <w:rPr>
          <w:rFonts w:ascii="Times New Roman" w:hAnsi="Times New Roman"/>
          <w:sz w:val="28"/>
          <w:szCs w:val="28"/>
        </w:rPr>
        <w:t xml:space="preserve">, тем самым исключив императивность положений пункта 13 статьи 6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Федерального закона «Об оружии» и, при этом, закрепив отсылочную норму к указанному выше Постановлению Правительства Российской Федерации (в развитие дальнейшей работы над совершенствованием правовых механизмов в сфере обеспечения сохранности оружия предлагается</w:t>
      </w:r>
      <w:r>
        <w:rPr>
          <w:rFonts w:ascii="Times New Roman" w:hAnsi="Times New Roman"/>
          <w:sz w:val="28"/>
          <w:szCs w:val="28"/>
        </w:rPr>
        <w:t xml:space="preserve"> дополнить указанный нормативный правовой акт положениями, предполагающими специальный порядок регулирования данных правоотношений для территорий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</w:rPr>
        <w:t xml:space="preserve"> районов Крайнего Севера и приравненных к ним местностей)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BodyText"/>
        <w:widowControl/>
        <w:bidi w:val="0"/>
        <w:spacing w:lineRule="auto" w:line="276" w:before="0" w:after="83"/>
        <w:ind w:firstLine="68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Предложенная редакция пункта 13 статьи 6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Федерального закона </w:t>
        <w:br/>
        <w:t>«Об оружии»</w:t>
      </w:r>
      <w:r>
        <w:rPr>
          <w:rFonts w:ascii="Times New Roman" w:hAnsi="Times New Roman"/>
          <w:sz w:val="28"/>
          <w:szCs w:val="28"/>
        </w:rPr>
        <w:t xml:space="preserve"> по правовому смыслу коррелирует с положениями части </w:t>
        <w:br/>
        <w:t xml:space="preserve">6 статьи 22 Федерального закона «Об оружии», устанавливающей, что </w:t>
      </w:r>
      <w:r>
        <w:rPr>
          <w:rFonts w:ascii="Times New Roman" w:hAnsi="Times New Roman"/>
          <w:sz w:val="28"/>
          <w:szCs w:val="28"/>
          <w:u w:val="single"/>
        </w:rPr>
        <w:t>требования</w:t>
      </w:r>
      <w:r>
        <w:rPr>
          <w:rFonts w:ascii="Times New Roman" w:hAnsi="Times New Roman"/>
          <w:sz w:val="28"/>
          <w:szCs w:val="28"/>
        </w:rPr>
        <w:t xml:space="preserve"> к условиям хранения различных видов гражданского и служебного оружия и патронов к нему </w:t>
      </w:r>
      <w:r>
        <w:rPr>
          <w:rFonts w:ascii="Times New Roman" w:hAnsi="Times New Roman"/>
          <w:sz w:val="28"/>
          <w:szCs w:val="28"/>
          <w:u w:val="single"/>
        </w:rPr>
        <w:t>определяются Правительством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BodyText"/>
        <w:widowControl/>
        <w:bidi w:val="0"/>
        <w:spacing w:lineRule="auto" w:line="276" w:before="0" w:after="83"/>
        <w:ind w:firstLine="68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Полагаем, что принятие настоящего проекта федерального закона, позволит продолжить работу над реализацией основополагающих постулатов </w:t>
      </w:r>
      <w:r>
        <w:rPr>
          <w:rFonts w:ascii="Times New Roman" w:hAnsi="Times New Roman"/>
          <w:b w:val="false"/>
          <w:sz w:val="28"/>
          <w:szCs w:val="28"/>
        </w:rPr>
        <w:t xml:space="preserve">Федерального закона от 13 декабря 1996 года № 150-ФЗ «Об оружии» </w:t>
        <w:br/>
        <w:t xml:space="preserve">и предоставит вариативность разработки эффективных правовых решений для обеспечения сохранности оружия в рамках нормативных правовых актов, принятых в развитие положений указанного Федерального закона «Об оружии» (в частности, в рамках </w:t>
      </w:r>
      <w:r>
        <w:rPr>
          <w:rFonts w:ascii="Times New Roman" w:hAnsi="Times New Roman"/>
          <w:b w:val="false"/>
          <w:sz w:val="28"/>
          <w:szCs w:val="28"/>
          <w:u w:val="none"/>
        </w:rPr>
        <w:t xml:space="preserve">Постановления Правительства Российской Федерации </w:t>
        <w:br/>
        <w:t>от 21 июля 1998 года № 814</w:t>
      </w:r>
      <w:r>
        <w:rPr>
          <w:rFonts w:ascii="Times New Roman" w:hAnsi="Times New Roman"/>
          <w:b w:val="false"/>
          <w:sz w:val="28"/>
          <w:szCs w:val="28"/>
        </w:rPr>
        <w:t>).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6" w:right="1136" w:gutter="0" w:header="708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4</w:t>
    </w:r>
    <w:r>
      <w:rPr>
        <w:rFonts w:ascii="Times New Roman" w:hAnsi="Times New Roman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HeaderandFooter3">
    <w:name w:val="Header and Footer3"/>
    <w:link w:val="HeaderandFooter310"/>
    <w:qFormat/>
    <w:rPr/>
  </w:style>
  <w:style w:type="character" w:styleId="HeaderandFooter19">
    <w:name w:val="Header and Footer19"/>
    <w:link w:val="HeaderandFooter191"/>
    <w:qFormat/>
    <w:rPr/>
  </w:style>
  <w:style w:type="character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styleId="Footer1">
    <w:name w:val="Footer1"/>
    <w:link w:val="Footer11"/>
    <w:qFormat/>
    <w:rPr/>
  </w:style>
  <w:style w:type="character" w:styleId="HeaderandFooter23">
    <w:name w:val="Header and Footer23"/>
    <w:link w:val="HeaderandFooter231"/>
    <w:qFormat/>
    <w:rPr/>
  </w:style>
  <w:style w:type="character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styleId="Contents7">
    <w:name w:val="Contents 7"/>
    <w:link w:val="Contents72"/>
    <w:qFormat/>
    <w:rPr>
      <w:rFonts w:ascii="XO Thames" w:hAnsi="XO Thames"/>
      <w:sz w:val="28"/>
    </w:rPr>
  </w:style>
  <w:style w:type="character" w:styleId="HeaderandFooter38">
    <w:name w:val="Header and Footer38"/>
    <w:link w:val="HeaderandFooter381"/>
    <w:qFormat/>
    <w:rPr/>
  </w:style>
  <w:style w:type="character" w:styleId="HeaderandFooter12">
    <w:name w:val="Header and Footer12"/>
    <w:link w:val="HeaderandFooter121"/>
    <w:qFormat/>
    <w:rPr/>
  </w:style>
  <w:style w:type="character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styleId="HeaderandFooter33">
    <w:name w:val="Header and Footer33"/>
    <w:link w:val="HeaderandFooter331"/>
    <w:qFormat/>
    <w:rPr/>
  </w:style>
  <w:style w:type="character" w:styleId="Contents71">
    <w:name w:val="Contents 71"/>
    <w:qFormat/>
    <w:rPr>
      <w:rFonts w:ascii="XO Thames" w:hAnsi="XO Thames"/>
      <w:color w:val="000000"/>
      <w:spacing w:val="0"/>
      <w:sz w:val="28"/>
    </w:rPr>
  </w:style>
  <w:style w:type="character" w:styleId="HeaderandFooter21">
    <w:name w:val="Header and Footer21"/>
    <w:link w:val="HeaderandFooter211"/>
    <w:qFormat/>
    <w:rPr/>
  </w:style>
  <w:style w:type="character" w:styleId="Header1">
    <w:name w:val="Header1"/>
    <w:link w:val="Header11"/>
    <w:qFormat/>
    <w:rPr/>
  </w:style>
  <w:style w:type="character" w:styleId="HeaderandFooter16">
    <w:name w:val="Header and Footer16"/>
    <w:link w:val="HeaderandFooter161"/>
    <w:qFormat/>
    <w:rPr/>
  </w:style>
  <w:style w:type="character" w:styleId="HeaderandFooter4">
    <w:name w:val="Header and Footer4"/>
    <w:link w:val="HeaderandFooter45"/>
    <w:qFormat/>
    <w:rPr/>
  </w:style>
  <w:style w:type="character" w:styleId="ConsPlusTitlePage1">
    <w:name w:val="ConsPlusTitlePage1"/>
    <w:link w:val="ConsPlusTitlePage11"/>
    <w:qFormat/>
    <w:rPr>
      <w:rFonts w:ascii="Tahoma" w:hAnsi="Tahoma"/>
      <w:color w:val="000000"/>
      <w:spacing w:val="0"/>
      <w:sz w:val="20"/>
    </w:rPr>
  </w:style>
  <w:style w:type="character" w:styleId="List1">
    <w:name w:val="List1"/>
    <w:basedOn w:val="Textbody"/>
    <w:qFormat/>
    <w:rPr/>
  </w:style>
  <w:style w:type="character" w:styleId="HeaderandFooter2">
    <w:name w:val="Header and Footer2"/>
    <w:link w:val="HeaderandFooter210"/>
    <w:qFormat/>
    <w:rPr/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styleId="HeaderandFooter39">
    <w:name w:val="Header and Footer39"/>
    <w:link w:val="HeaderandFooter391"/>
    <w:qFormat/>
    <w:rPr/>
  </w:style>
  <w:style w:type="character" w:styleId="Heading41">
    <w:name w:val="Heading 41"/>
    <w:link w:val="Heading411"/>
    <w:qFormat/>
    <w:rPr>
      <w:rFonts w:ascii="XO Thames" w:hAnsi="XO Thames"/>
      <w:b/>
      <w:sz w:val="24"/>
    </w:rPr>
  </w:style>
  <w:style w:type="character" w:styleId="HeaderandFooter25">
    <w:name w:val="Header and Footer25"/>
    <w:link w:val="HeaderandFooter251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sz w:val="40"/>
    </w:rPr>
  </w:style>
  <w:style w:type="character" w:styleId="Contents41">
    <w:name w:val="Contents 41"/>
    <w:link w:val="Contents42"/>
    <w:qFormat/>
    <w:rPr>
      <w:rFonts w:ascii="XO Thames" w:hAnsi="XO Thames"/>
      <w:sz w:val="28"/>
    </w:rPr>
  </w:style>
  <w:style w:type="character" w:styleId="HeaderandFooter7">
    <w:name w:val="Header and Footer7"/>
    <w:link w:val="HeaderandFooter71"/>
    <w:qFormat/>
    <w:rPr/>
  </w:style>
  <w:style w:type="character" w:styleId="Standard">
    <w:name w:val="Standard"/>
    <w:link w:val="Standard2"/>
    <w:qFormat/>
    <w:rPr>
      <w:rFonts w:ascii="XO Thames" w:hAnsi="XO Thames"/>
      <w:color w:val="000000"/>
      <w:sz w:val="28"/>
    </w:rPr>
  </w:style>
  <w:style w:type="character" w:styleId="HeaderandFooter29">
    <w:name w:val="Header and Footer29"/>
    <w:link w:val="HeaderandFooter291"/>
    <w:qFormat/>
    <w:rPr/>
  </w:style>
  <w:style w:type="character" w:styleId="HeaderandFooter28">
    <w:name w:val="Header and Footer28"/>
    <w:link w:val="HeaderandFooter281"/>
    <w:qFormat/>
    <w:rPr/>
  </w:style>
  <w:style w:type="character" w:styleId="HeaderandFooter17">
    <w:name w:val="Header and Footer17"/>
    <w:link w:val="HeaderandFooter171"/>
    <w:qFormat/>
    <w:rPr/>
  </w:style>
  <w:style w:type="character" w:styleId="DefaultParagraphFont1">
    <w:name w:val="Default Paragraph Font1"/>
    <w:link w:val="DefaultParagraphFont11"/>
    <w:qFormat/>
    <w:rPr>
      <w:rFonts w:ascii="Calibri" w:hAnsi="Calibri"/>
      <w:color w:val="000000"/>
      <w:spacing w:val="0"/>
      <w:sz w:val="22"/>
    </w:rPr>
  </w:style>
  <w:style w:type="character" w:styleId="HeaderandFooter42">
    <w:name w:val="Header and Footer42"/>
    <w:link w:val="HeaderandFooter421"/>
    <w:qFormat/>
    <w:rPr/>
  </w:style>
  <w:style w:type="character" w:styleId="HeaderandFooter8">
    <w:name w:val="Header and Footer8"/>
    <w:link w:val="HeaderandFooter81"/>
    <w:qFormat/>
    <w:rPr/>
  </w:style>
  <w:style w:type="character" w:styleId="HeaderandFooter30">
    <w:name w:val="Header and Footer30"/>
    <w:link w:val="HeaderandFooter301"/>
    <w:qFormat/>
    <w:rPr/>
  </w:style>
  <w:style w:type="character" w:styleId="ConsPlusNormal1">
    <w:name w:val="ConsPlusNormal1"/>
    <w:link w:val="ConsPlusNormal11"/>
    <w:qFormat/>
    <w:rPr>
      <w:rFonts w:ascii="Calibri" w:hAnsi="Calibri"/>
      <w:color w:val="000000"/>
      <w:spacing w:val="0"/>
      <w:sz w:val="22"/>
    </w:rPr>
  </w:style>
  <w:style w:type="character" w:styleId="Heading51">
    <w:name w:val="Heading 51"/>
    <w:link w:val="Heading511"/>
    <w:qFormat/>
    <w:rPr>
      <w:rFonts w:ascii="XO Thames" w:hAnsi="XO Thames"/>
      <w:b/>
      <w:sz w:val="22"/>
    </w:rPr>
  </w:style>
  <w:style w:type="character" w:styleId="HeaderandFooter26">
    <w:name w:val="Header and Footer26"/>
    <w:link w:val="HeaderandFooter261"/>
    <w:qFormat/>
    <w:rPr/>
  </w:style>
  <w:style w:type="character" w:styleId="HeaderandFooter27">
    <w:name w:val="Header and Footer27"/>
    <w:link w:val="HeaderandFooter271"/>
    <w:qFormat/>
    <w:rPr/>
  </w:style>
  <w:style w:type="character" w:styleId="Style9">
    <w:name w:val="Содержимое таблицы"/>
    <w:link w:val="113"/>
    <w:qFormat/>
    <w:rPr/>
  </w:style>
  <w:style w:type="character" w:styleId="HeaderandFooter31">
    <w:name w:val="Header and Footer31"/>
    <w:link w:val="HeaderandFooter311"/>
    <w:qFormat/>
    <w:rPr/>
  </w:style>
  <w:style w:type="character" w:styleId="HeaderandFooter1">
    <w:name w:val="Header and Footer1"/>
    <w:link w:val="HeaderandFooter110"/>
    <w:qFormat/>
    <w:rPr>
      <w:rFonts w:ascii="XO Thames" w:hAnsi="XO Thames"/>
      <w:color w:val="000000"/>
      <w:spacing w:val="0"/>
      <w:sz w:val="28"/>
    </w:rPr>
  </w:style>
  <w:style w:type="character" w:styleId="HeaderandFooter18">
    <w:name w:val="Header and Footer18"/>
    <w:link w:val="HeaderandFooter181"/>
    <w:qFormat/>
    <w:rPr/>
  </w:style>
  <w:style w:type="character" w:styleId="Footer2">
    <w:name w:val="Footer2"/>
    <w:qFormat/>
    <w:rPr/>
  </w:style>
  <w:style w:type="character" w:styleId="HeaderandFooter13">
    <w:name w:val="Header and Footer13"/>
    <w:link w:val="HeaderandFooter131"/>
    <w:qFormat/>
    <w:rPr/>
  </w:style>
  <w:style w:type="character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styleId="HeaderandFooter24">
    <w:name w:val="Header and Footer24"/>
    <w:link w:val="HeaderandFooter241"/>
    <w:qFormat/>
    <w:rPr/>
  </w:style>
  <w:style w:type="character" w:styleId="Style10">
    <w:name w:val="Заголовок"/>
    <w:link w:val="111"/>
    <w:qFormat/>
    <w:rPr>
      <w:rFonts w:ascii="Times New Roman" w:hAnsi="Times New Roman"/>
      <w:sz w:val="28"/>
    </w:rPr>
  </w:style>
  <w:style w:type="character" w:styleId="HeaderandFooter10">
    <w:name w:val="Header and Footer10"/>
    <w:link w:val="HeaderandFooter101"/>
    <w:qFormat/>
    <w:rPr/>
  </w:style>
  <w:style w:type="character" w:styleId="HeaderandFooter15">
    <w:name w:val="Header and Footer15"/>
    <w:link w:val="HeaderandFooter151"/>
    <w:qFormat/>
    <w:rPr/>
  </w:style>
  <w:style w:type="character" w:styleId="HeaderandFooter32">
    <w:name w:val="Header and Footer32"/>
    <w:link w:val="HeaderandFooter321"/>
    <w:qFormat/>
    <w:rPr/>
  </w:style>
  <w:style w:type="character" w:styleId="Heading311">
    <w:name w:val="Heading 311"/>
    <w:link w:val="Heading312"/>
    <w:qFormat/>
    <w:rPr>
      <w:rFonts w:ascii="XO Thames" w:hAnsi="XO Thames"/>
      <w:b/>
      <w:sz w:val="26"/>
    </w:rPr>
  </w:style>
  <w:style w:type="character" w:styleId="Style11">
    <w:name w:val="Символ нумерации"/>
    <w:qFormat/>
    <w:rPr/>
  </w:style>
  <w:style w:type="character" w:styleId="Heading52">
    <w:name w:val="Heading 52"/>
    <w:qFormat/>
    <w:rPr>
      <w:rFonts w:ascii="XO Thames" w:hAnsi="XO Thames"/>
      <w:b/>
      <w:color w:val="000000"/>
      <w:spacing w:val="0"/>
      <w:sz w:val="22"/>
    </w:rPr>
  </w:style>
  <w:style w:type="character" w:styleId="Contents31">
    <w:name w:val="Contents 31"/>
    <w:link w:val="Contents32"/>
    <w:qFormat/>
    <w:rPr>
      <w:rFonts w:ascii="XO Thames" w:hAnsi="XO Thames"/>
      <w:sz w:val="28"/>
    </w:rPr>
  </w:style>
  <w:style w:type="character" w:styleId="Heading11">
    <w:name w:val="Heading 11"/>
    <w:qFormat/>
    <w:rPr>
      <w:rFonts w:ascii="XO Thames" w:hAnsi="XO Thames"/>
      <w:b/>
      <w:color w:val="000000"/>
      <w:spacing w:val="0"/>
      <w:sz w:val="32"/>
    </w:rPr>
  </w:style>
  <w:style w:type="character" w:styleId="HeaderandFooter11">
    <w:name w:val="Header and Footer11"/>
    <w:link w:val="HeaderandFooter111"/>
    <w:qFormat/>
    <w:rPr/>
  </w:style>
  <w:style w:type="character" w:styleId="Style12">
    <w:name w:val="Заголовок таблицы"/>
    <w:basedOn w:val="Style9"/>
    <w:link w:val="114"/>
    <w:qFormat/>
    <w:rPr>
      <w:b/>
    </w:rPr>
  </w:style>
  <w:style w:type="character" w:styleId="HeaderandFooter37">
    <w:name w:val="Header and Footer37"/>
    <w:link w:val="HeaderandFooter371"/>
    <w:qFormat/>
    <w:rPr/>
  </w:style>
  <w:style w:type="character" w:styleId="Contents61">
    <w:name w:val="Contents 61"/>
    <w:link w:val="Contents62"/>
    <w:qFormat/>
    <w:rPr>
      <w:rFonts w:ascii="XO Thames" w:hAnsi="XO Thames"/>
      <w:sz w:val="28"/>
    </w:rPr>
  </w:style>
  <w:style w:type="character" w:styleId="HeaderandFooter14">
    <w:name w:val="Header and Footer14"/>
    <w:link w:val="HeaderandFooter141"/>
    <w:qFormat/>
    <w:rPr/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HeaderandFooter34">
    <w:name w:val="Header and Footer34"/>
    <w:link w:val="HeaderandFooter341"/>
    <w:qFormat/>
    <w:rPr/>
  </w:style>
  <w:style w:type="character" w:styleId="Contents1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styleId="Contents9">
    <w:name w:val="Contents 9"/>
    <w:link w:val="Contents92"/>
    <w:qFormat/>
    <w:rPr>
      <w:rFonts w:ascii="XO Thames" w:hAnsi="XO Thames"/>
      <w:sz w:val="28"/>
    </w:rPr>
  </w:style>
  <w:style w:type="character" w:styleId="HeaderandFooter">
    <w:name w:val="Header and Footer"/>
    <w:link w:val="HeaderandFooter46"/>
    <w:qFormat/>
    <w:rPr>
      <w:rFonts w:ascii="XO Thames" w:hAnsi="XO Thames"/>
      <w:sz w:val="28"/>
    </w:rPr>
  </w:style>
  <w:style w:type="character" w:styleId="Caption1">
    <w:name w:val="Caption1"/>
    <w:qFormat/>
    <w:rPr>
      <w:i/>
      <w:sz w:val="24"/>
    </w:rPr>
  </w:style>
  <w:style w:type="character" w:styleId="Contents8">
    <w:name w:val="Contents 8"/>
    <w:link w:val="Contents82"/>
    <w:qFormat/>
    <w:rPr>
      <w:rFonts w:ascii="XO Thames" w:hAnsi="XO Thames"/>
      <w:sz w:val="28"/>
    </w:rPr>
  </w:style>
  <w:style w:type="character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styleId="Style13">
    <w:name w:val="Зак.инициатива"/>
    <w:link w:val="15"/>
    <w:qFormat/>
    <w:rPr>
      <w:rFonts w:ascii="Times New Roman" w:hAnsi="Times New Roman"/>
      <w:sz w:val="28"/>
    </w:rPr>
  </w:style>
  <w:style w:type="character" w:styleId="Contents5">
    <w:name w:val="Contents 5"/>
    <w:link w:val="Contents52"/>
    <w:qFormat/>
    <w:rPr>
      <w:rFonts w:ascii="XO Thames" w:hAnsi="XO Thames"/>
      <w:sz w:val="28"/>
    </w:rPr>
  </w:style>
  <w:style w:type="character" w:styleId="Style14">
    <w:name w:val="Указатель"/>
    <w:link w:val="112"/>
    <w:qFormat/>
    <w:rPr/>
  </w:style>
  <w:style w:type="character" w:styleId="HeaderandFooter36">
    <w:name w:val="Header and Footer36"/>
    <w:link w:val="HeaderandFooter361"/>
    <w:qFormat/>
    <w:rPr/>
  </w:style>
  <w:style w:type="character" w:styleId="HeaderandFooter5">
    <w:name w:val="Header and Footer5"/>
    <w:link w:val="HeaderandFooter51"/>
    <w:qFormat/>
    <w:rPr/>
  </w:style>
  <w:style w:type="character" w:styleId="HeaderandFooter41">
    <w:name w:val="Header and Footer41"/>
    <w:link w:val="HeaderandFooter411"/>
    <w:qFormat/>
    <w:rPr/>
  </w:style>
  <w:style w:type="character" w:styleId="HeaderandFooter44">
    <w:name w:val="Header and Footer44"/>
    <w:link w:val="HeaderandFooter441"/>
    <w:qFormat/>
    <w:rPr/>
  </w:style>
  <w:style w:type="character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styleId="Standard1">
    <w:name w:val="Standard1"/>
    <w:link w:val="Standard11"/>
    <w:qFormat/>
    <w:rPr>
      <w:rFonts w:ascii="Liberation Serif" w:hAnsi="Liberation Serif"/>
      <w:color w:val="00000A"/>
      <w:spacing w:val="0"/>
      <w:sz w:val="24"/>
    </w:rPr>
  </w:style>
  <w:style w:type="character" w:styleId="HeaderandFooter22">
    <w:name w:val="Header and Footer22"/>
    <w:link w:val="HeaderandFooter221"/>
    <w:qFormat/>
    <w:rPr/>
  </w:style>
  <w:style w:type="character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styleId="HeaderandFooter6">
    <w:name w:val="Header and Footer6"/>
    <w:link w:val="HeaderandFooter61"/>
    <w:qFormat/>
    <w:rPr/>
  </w:style>
  <w:style w:type="character" w:styleId="HeaderandFooter43">
    <w:name w:val="Header and Footer43"/>
    <w:link w:val="HeaderandFooter431"/>
    <w:qFormat/>
    <w:rPr/>
  </w:style>
  <w:style w:type="character" w:styleId="Contents51">
    <w:name w:val="Contents 51"/>
    <w:qFormat/>
    <w:rPr>
      <w:rFonts w:ascii="XO Thames" w:hAnsi="XO Thames"/>
      <w:color w:val="000000"/>
      <w:spacing w:val="0"/>
      <w:sz w:val="28"/>
    </w:rPr>
  </w:style>
  <w:style w:type="character" w:styleId="Subtitle1">
    <w:name w:val="Subtitle1"/>
    <w:link w:val="Subtitle11"/>
    <w:qFormat/>
    <w:rPr>
      <w:rFonts w:ascii="XO Thames" w:hAnsi="XO Thames"/>
      <w:i/>
      <w:sz w:val="24"/>
    </w:rPr>
  </w:style>
  <w:style w:type="character" w:styleId="Heading21">
    <w:name w:val="Heading 21"/>
    <w:link w:val="Heading211"/>
    <w:qFormat/>
    <w:rPr>
      <w:rFonts w:ascii="XO Thames" w:hAnsi="XO Thames"/>
      <w:b/>
      <w:sz w:val="28"/>
    </w:rPr>
  </w:style>
  <w:style w:type="character" w:styleId="Contents11">
    <w:name w:val="Contents 11"/>
    <w:link w:val="Contents12"/>
    <w:qFormat/>
    <w:rPr>
      <w:rFonts w:ascii="XO Thames" w:hAnsi="XO Thames"/>
      <w:b/>
      <w:sz w:val="28"/>
    </w:rPr>
  </w:style>
  <w:style w:type="character" w:styleId="HeaderandFooter9">
    <w:name w:val="Header and Footer9"/>
    <w:link w:val="HeaderandFooter91"/>
    <w:qFormat/>
    <w:rPr/>
  </w:style>
  <w:style w:type="character" w:styleId="HeaderandFooter35">
    <w:name w:val="Header and Footer35"/>
    <w:link w:val="HeaderandFooter351"/>
    <w:qFormat/>
    <w:rPr/>
  </w:style>
  <w:style w:type="character" w:styleId="Textbody">
    <w:name w:val="Text body"/>
    <w:qFormat/>
    <w:rPr/>
  </w:style>
  <w:style w:type="character" w:styleId="Subtitle2">
    <w:name w:val="Subtitle2"/>
    <w:qFormat/>
    <w:rPr>
      <w:rFonts w:ascii="XO Thames" w:hAnsi="XO Thames"/>
      <w:i/>
      <w:color w:val="000000"/>
      <w:spacing w:val="0"/>
      <w:sz w:val="24"/>
    </w:rPr>
  </w:style>
  <w:style w:type="character" w:styleId="Header2">
    <w:name w:val="Header2"/>
    <w:qFormat/>
    <w:rPr/>
  </w:style>
  <w:style w:type="character" w:styleId="Footnote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styleId="Strong">
    <w:name w:val="Strong"/>
    <w:qFormat/>
    <w:rPr>
      <w:b/>
    </w:rPr>
  </w:style>
  <w:style w:type="character" w:styleId="ConsPlusTitle1">
    <w:name w:val="ConsPlusTitle1"/>
    <w:link w:val="ConsPlusTitle11"/>
    <w:qFormat/>
    <w:rPr>
      <w:rFonts w:ascii="Calibri" w:hAnsi="Calibri"/>
      <w:b/>
      <w:color w:val="000000"/>
      <w:spacing w:val="0"/>
      <w:sz w:val="22"/>
    </w:rPr>
  </w:style>
  <w:style w:type="character" w:styleId="Contents21">
    <w:name w:val="Contents 21"/>
    <w:link w:val="Contents22"/>
    <w:qFormat/>
    <w:rPr>
      <w:rFonts w:ascii="XO Thames" w:hAnsi="XO Thames"/>
      <w:sz w:val="28"/>
    </w:rPr>
  </w:style>
  <w:style w:type="character" w:styleId="Title2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styleId="Heading42">
    <w:name w:val="Heading 42"/>
    <w:qFormat/>
    <w:rPr>
      <w:rFonts w:ascii="XO Thames" w:hAnsi="XO Thames"/>
      <w:b/>
      <w:color w:val="000000"/>
      <w:spacing w:val="0"/>
      <w:sz w:val="24"/>
    </w:rPr>
  </w:style>
  <w:style w:type="character" w:styleId="Internetlink">
    <w:name w:val="Internet link"/>
    <w:link w:val="Internetlink2"/>
    <w:qFormat/>
    <w:rPr>
      <w:rFonts w:ascii="Calibri" w:hAnsi="Calibri"/>
      <w:color w:val="0000FF"/>
      <w:spacing w:val="0"/>
      <w:sz w:val="22"/>
      <w:u w:val="single"/>
    </w:rPr>
  </w:style>
  <w:style w:type="character" w:styleId="Heading22">
    <w:name w:val="Heading 22"/>
    <w:qFormat/>
    <w:rPr>
      <w:rFonts w:ascii="XO Thames" w:hAnsi="XO Thames"/>
      <w:b/>
      <w:color w:val="000000"/>
      <w:spacing w:val="0"/>
      <w:sz w:val="28"/>
    </w:rPr>
  </w:style>
  <w:style w:type="character" w:styleId="HeaderandFooter20">
    <w:name w:val="Header and Footer20"/>
    <w:link w:val="HeaderandFooter201"/>
    <w:qFormat/>
    <w:rPr/>
  </w:style>
  <w:style w:type="character" w:styleId="HeaderandFooter40">
    <w:name w:val="Header and Footer40"/>
    <w:link w:val="HeaderandFooter401"/>
    <w:qFormat/>
    <w:rPr/>
  </w:style>
  <w:style w:type="character" w:styleId="Heading111">
    <w:name w:val="Heading 111"/>
    <w:link w:val="Heading112"/>
    <w:qFormat/>
    <w:rPr>
      <w:rFonts w:ascii="XO Thames" w:hAnsi="XO Thames"/>
      <w:b/>
      <w:sz w:val="32"/>
    </w:rPr>
  </w:style>
  <w:style w:type="paragraph" w:styleId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pacing w:before="120" w:after="120"/>
    </w:pPr>
    <w:rPr>
      <w:i/>
      <w:sz w:val="24"/>
    </w:rPr>
  </w:style>
  <w:style w:type="paragraph" w:styleId="11">
    <w:name w:val="Указатель1"/>
    <w:basedOn w:val="Normal"/>
    <w:qFormat/>
    <w:pPr/>
    <w:rPr/>
  </w:style>
  <w:style w:type="paragraph" w:styleId="111">
    <w:name w:val="Заголовок11"/>
    <w:basedOn w:val="Normal"/>
    <w:next w:val="BodyText"/>
    <w:link w:val="Style10"/>
    <w:qFormat/>
    <w:pPr>
      <w:keepNext w:val="true"/>
      <w:spacing w:before="240" w:after="120"/>
    </w:pPr>
    <w:rPr>
      <w:rFonts w:ascii="Times New Roman" w:hAnsi="Times New Roman"/>
      <w:sz w:val="28"/>
    </w:rPr>
  </w:style>
  <w:style w:type="paragraph" w:styleId="112">
    <w:name w:val="Указатель11"/>
    <w:basedOn w:val="Normal"/>
    <w:link w:val="Style14"/>
    <w:qFormat/>
    <w:pPr/>
    <w:rPr>
      <w:rFonts w:ascii="Times New Roman" w:hAnsi="Times New Roman"/>
    </w:rPr>
  </w:style>
  <w:style w:type="paragraph" w:styleId="HeaderandFooter310">
    <w:name w:val="Header and Footer310"/>
    <w:basedOn w:val="Normal"/>
    <w:link w:val="HeaderandFooter3"/>
    <w:qFormat/>
    <w:pPr/>
    <w:rPr/>
  </w:style>
  <w:style w:type="paragraph" w:styleId="HeaderandFooter191">
    <w:name w:val="Header and Footer191"/>
    <w:basedOn w:val="Normal"/>
    <w:link w:val="HeaderandFooter19"/>
    <w:qFormat/>
    <w:pPr/>
    <w:rPr/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11">
    <w:name w:val="Footer11"/>
    <w:link w:val="Footer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andFooter231">
    <w:name w:val="Header and Footer231"/>
    <w:basedOn w:val="Normal"/>
    <w:link w:val="HeaderandFooter23"/>
    <w:qFormat/>
    <w:pPr/>
    <w:rPr/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2">
    <w:name w:val="Contents 72"/>
    <w:link w:val="Contents7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381">
    <w:name w:val="Header and Footer381"/>
    <w:basedOn w:val="Normal"/>
    <w:link w:val="HeaderandFooter38"/>
    <w:qFormat/>
    <w:pPr/>
    <w:rPr/>
  </w:style>
  <w:style w:type="paragraph" w:styleId="HeaderandFooter121">
    <w:name w:val="Header and Footer121"/>
    <w:basedOn w:val="Normal"/>
    <w:link w:val="HeaderandFooter12"/>
    <w:qFormat/>
    <w:pPr/>
    <w:rPr/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331">
    <w:name w:val="Header and Footer331"/>
    <w:basedOn w:val="Normal"/>
    <w:link w:val="HeaderandFooter33"/>
    <w:qFormat/>
    <w:pPr/>
    <w:rPr/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11">
    <w:name w:val="Header and Footer211"/>
    <w:basedOn w:val="Normal"/>
    <w:link w:val="HeaderandFooter21"/>
    <w:qFormat/>
    <w:pPr/>
    <w:rPr/>
  </w:style>
  <w:style w:type="paragraph" w:styleId="Header11">
    <w:name w:val="Header11"/>
    <w:link w:val="Header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andFooter161">
    <w:name w:val="Header and Footer161"/>
    <w:basedOn w:val="Normal"/>
    <w:link w:val="HeaderandFooter16"/>
    <w:qFormat/>
    <w:pPr/>
    <w:rPr/>
  </w:style>
  <w:style w:type="paragraph" w:styleId="HeaderandFooter45">
    <w:name w:val="Header and Footer45"/>
    <w:basedOn w:val="Normal"/>
    <w:link w:val="HeaderandFooter4"/>
    <w:qFormat/>
    <w:pPr/>
    <w:rPr/>
  </w:style>
  <w:style w:type="paragraph" w:styleId="ConsPlusTitlePage11">
    <w:name w:val="ConsPlusTitlePage11"/>
    <w:link w:val="ConsPlusTitlePage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ahoma" w:hAnsi="Tahoma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HeaderandFooter210">
    <w:name w:val="Header and Footer210"/>
    <w:basedOn w:val="Normal"/>
    <w:link w:val="HeaderandFooter2"/>
    <w:qFormat/>
    <w:pPr/>
    <w:rPr/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andFooter391">
    <w:name w:val="Header and Footer391"/>
    <w:basedOn w:val="Normal"/>
    <w:link w:val="HeaderandFooter39"/>
    <w:qFormat/>
    <w:pPr/>
    <w:rPr/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erandFooter251">
    <w:name w:val="Header and Footer251"/>
    <w:basedOn w:val="Normal"/>
    <w:link w:val="HeaderandFooter25"/>
    <w:qFormat/>
    <w:pPr/>
    <w:rPr/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71">
    <w:name w:val="Header and Footer71"/>
    <w:basedOn w:val="Normal"/>
    <w:link w:val="HeaderandFooter7"/>
    <w:qFormat/>
    <w:pPr/>
    <w:rPr/>
  </w:style>
  <w:style w:type="paragraph" w:styleId="Standard2">
    <w:name w:val="Standard2"/>
    <w:link w:val="Standard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91">
    <w:name w:val="Header and Footer291"/>
    <w:basedOn w:val="Normal"/>
    <w:link w:val="HeaderandFooter29"/>
    <w:qFormat/>
    <w:pPr/>
    <w:rPr/>
  </w:style>
  <w:style w:type="paragraph" w:styleId="HeaderandFooter281">
    <w:name w:val="Header and Footer281"/>
    <w:basedOn w:val="Normal"/>
    <w:link w:val="HeaderandFooter28"/>
    <w:qFormat/>
    <w:pPr/>
    <w:rPr/>
  </w:style>
  <w:style w:type="paragraph" w:styleId="HeaderandFooter171">
    <w:name w:val="Header and Footer171"/>
    <w:basedOn w:val="Normal"/>
    <w:link w:val="HeaderandFooter17"/>
    <w:qFormat/>
    <w:pPr/>
    <w:rPr/>
  </w:style>
  <w:style w:type="paragraph" w:styleId="DefaultParagraphFont11">
    <w:name w:val="Default Paragraph Font11"/>
    <w:link w:val="DefaultParagraphFont1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andFooter421">
    <w:name w:val="Header and Footer421"/>
    <w:basedOn w:val="Normal"/>
    <w:link w:val="HeaderandFooter42"/>
    <w:qFormat/>
    <w:pPr/>
    <w:rPr/>
  </w:style>
  <w:style w:type="paragraph" w:styleId="HeaderandFooter81">
    <w:name w:val="Header and Footer81"/>
    <w:basedOn w:val="Normal"/>
    <w:link w:val="HeaderandFooter8"/>
    <w:qFormat/>
    <w:pPr/>
    <w:rPr/>
  </w:style>
  <w:style w:type="paragraph" w:styleId="HeaderandFooter301">
    <w:name w:val="Header and Footer301"/>
    <w:basedOn w:val="Normal"/>
    <w:link w:val="HeaderandFooter30"/>
    <w:qFormat/>
    <w:pPr/>
    <w:rPr/>
  </w:style>
  <w:style w:type="paragraph" w:styleId="ConsPlusNormal11">
    <w:name w:val="ConsPlusNormal11"/>
    <w:link w:val="ConsPlusNormal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511">
    <w:name w:val="Heading 511"/>
    <w:link w:val="Heading5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erandFooter261">
    <w:name w:val="Header and Footer261"/>
    <w:basedOn w:val="Normal"/>
    <w:link w:val="HeaderandFooter26"/>
    <w:qFormat/>
    <w:pPr/>
    <w:rPr/>
  </w:style>
  <w:style w:type="paragraph" w:styleId="HeaderandFooter271">
    <w:name w:val="Header and Footer271"/>
    <w:basedOn w:val="Normal"/>
    <w:link w:val="HeaderandFooter27"/>
    <w:qFormat/>
    <w:pPr/>
    <w:rPr/>
  </w:style>
  <w:style w:type="paragraph" w:styleId="12">
    <w:name w:val="Содержимое таблицы1"/>
    <w:basedOn w:val="Normal"/>
    <w:qFormat/>
    <w:pPr>
      <w:widowControl w:val="false"/>
    </w:pPr>
    <w:rPr/>
  </w:style>
  <w:style w:type="paragraph" w:styleId="HeaderandFooter311">
    <w:name w:val="Header and Footer311"/>
    <w:basedOn w:val="Normal"/>
    <w:link w:val="HeaderandFooter31"/>
    <w:qFormat/>
    <w:pPr/>
    <w:rPr/>
  </w:style>
  <w:style w:type="paragraph" w:styleId="HeaderandFooter110">
    <w:name w:val="Header and Footer110"/>
    <w:link w:val="HeaderandFooter1"/>
    <w:qFormat/>
    <w:pPr>
      <w:widowControl/>
      <w:suppressAutoHyphens w:val="true"/>
      <w:bidi w:val="0"/>
      <w:spacing w:lineRule="auto" w:line="240" w:before="0" w:after="20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81">
    <w:name w:val="Header and Footer181"/>
    <w:basedOn w:val="Normal"/>
    <w:link w:val="HeaderandFooter18"/>
    <w:qFormat/>
    <w:pPr/>
    <w:rPr/>
  </w:style>
  <w:style w:type="paragraph" w:styleId="HeaderandFooter46">
    <w:name w:val="Header and Footer46"/>
    <w:link w:val="HeaderandFooter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47">
    <w:name w:val="Header and Footer47"/>
    <w:basedOn w:val="Normal"/>
    <w:qFormat/>
    <w:pPr/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HeaderandFooter131">
    <w:name w:val="Header and Footer131"/>
    <w:basedOn w:val="Normal"/>
    <w:link w:val="HeaderandFooter13"/>
    <w:qFormat/>
    <w:pPr/>
    <w:rPr/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41">
    <w:name w:val="Header and Footer241"/>
    <w:basedOn w:val="Normal"/>
    <w:link w:val="HeaderandFooter24"/>
    <w:qFormat/>
    <w:pPr/>
    <w:rPr/>
  </w:style>
  <w:style w:type="paragraph" w:styleId="HeaderandFooter101">
    <w:name w:val="Header and Footer101"/>
    <w:basedOn w:val="Normal"/>
    <w:link w:val="HeaderandFooter10"/>
    <w:qFormat/>
    <w:pPr/>
    <w:rPr/>
  </w:style>
  <w:style w:type="paragraph" w:styleId="HeaderandFooter151">
    <w:name w:val="Header and Footer151"/>
    <w:basedOn w:val="Normal"/>
    <w:link w:val="HeaderandFooter15"/>
    <w:qFormat/>
    <w:pPr/>
    <w:rPr/>
  </w:style>
  <w:style w:type="paragraph" w:styleId="HeaderandFooter321">
    <w:name w:val="Header and Footer321"/>
    <w:basedOn w:val="Normal"/>
    <w:link w:val="HeaderandFooter32"/>
    <w:qFormat/>
    <w:pPr/>
    <w:rPr/>
  </w:style>
  <w:style w:type="paragraph" w:styleId="Heading312">
    <w:name w:val="Heading 312"/>
    <w:link w:val="Heading3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13">
    <w:name w:val="Символ нумерации1"/>
    <w:link w:val="Style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11">
    <w:name w:val="Header and Footer111"/>
    <w:basedOn w:val="Normal"/>
    <w:link w:val="HeaderandFooter11"/>
    <w:qFormat/>
    <w:pPr/>
    <w:rPr/>
  </w:style>
  <w:style w:type="paragraph" w:styleId="14">
    <w:name w:val="Заголовок таблицы1"/>
    <w:basedOn w:val="12"/>
    <w:qFormat/>
    <w:pPr>
      <w:jc w:val="center"/>
    </w:pPr>
    <w:rPr>
      <w:b/>
    </w:rPr>
  </w:style>
  <w:style w:type="paragraph" w:styleId="HeaderandFooter371">
    <w:name w:val="Header and Footer371"/>
    <w:basedOn w:val="Normal"/>
    <w:link w:val="HeaderandFooter37"/>
    <w:qFormat/>
    <w:pPr/>
    <w:rPr/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41">
    <w:name w:val="Header and Footer141"/>
    <w:basedOn w:val="Normal"/>
    <w:link w:val="HeaderandFooter14"/>
    <w:qFormat/>
    <w:pPr/>
    <w:rPr/>
  </w:style>
  <w:style w:type="paragraph" w:styleId="Internetlink1">
    <w:name w:val="Internet link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andFooter341">
    <w:name w:val="Header and Footer341"/>
    <w:basedOn w:val="Normal"/>
    <w:link w:val="HeaderandFooter34"/>
    <w:qFormat/>
    <w:pPr/>
    <w:rPr/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2">
    <w:name w:val="Contents 92"/>
    <w:link w:val="Contents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5">
    <w:name w:val="Зак.инициатива1"/>
    <w:basedOn w:val="Normal"/>
    <w:link w:val="Style13"/>
    <w:qFormat/>
    <w:pPr>
      <w:spacing w:lineRule="auto" w:line="360" w:before="0" w:after="0"/>
      <w:ind w:firstLine="539" w:left="0"/>
      <w:jc w:val="both"/>
    </w:pPr>
    <w:rPr>
      <w:rFonts w:ascii="Times New Roman" w:hAnsi="Times New Roman"/>
      <w:sz w:val="28"/>
    </w:rPr>
  </w:style>
  <w:style w:type="paragraph" w:styleId="Contents52">
    <w:name w:val="Contents 52"/>
    <w:link w:val="Contents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361">
    <w:name w:val="Header and Footer361"/>
    <w:basedOn w:val="Normal"/>
    <w:link w:val="HeaderandFooter36"/>
    <w:qFormat/>
    <w:pPr/>
    <w:rPr/>
  </w:style>
  <w:style w:type="paragraph" w:styleId="HeaderandFooter51">
    <w:name w:val="Header and Footer51"/>
    <w:basedOn w:val="Normal"/>
    <w:link w:val="HeaderandFooter5"/>
    <w:qFormat/>
    <w:pPr/>
    <w:rPr/>
  </w:style>
  <w:style w:type="paragraph" w:styleId="HeaderandFooter411">
    <w:name w:val="Header and Footer411"/>
    <w:basedOn w:val="Normal"/>
    <w:link w:val="HeaderandFooter41"/>
    <w:qFormat/>
    <w:pPr/>
    <w:rPr/>
  </w:style>
  <w:style w:type="paragraph" w:styleId="HeaderandFooter441">
    <w:name w:val="Header and Footer441"/>
    <w:basedOn w:val="Normal"/>
    <w:link w:val="HeaderandFooter44"/>
    <w:qFormat/>
    <w:pPr/>
    <w:rPr/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andard11">
    <w:name w:val="Standard11"/>
    <w:link w:val="Standard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erif" w:hAnsi="Liberation Serif" w:eastAsia="Tahoma" w:cs="Noto Sans Devanagari"/>
      <w:color w:val="00000A"/>
      <w:spacing w:val="0"/>
      <w:kern w:val="0"/>
      <w:sz w:val="24"/>
      <w:szCs w:val="20"/>
      <w:lang w:val="ru-RU" w:eastAsia="zh-CN" w:bidi="hi-IN"/>
    </w:rPr>
  </w:style>
  <w:style w:type="paragraph" w:styleId="HeaderandFooter221">
    <w:name w:val="Header and Footer221"/>
    <w:basedOn w:val="Normal"/>
    <w:link w:val="HeaderandFooter22"/>
    <w:qFormat/>
    <w:pPr/>
    <w:rPr/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76" w:before="0" w:after="20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andFooter61">
    <w:name w:val="Header and Footer61"/>
    <w:basedOn w:val="Normal"/>
    <w:link w:val="HeaderandFooter6"/>
    <w:qFormat/>
    <w:pPr/>
    <w:rPr/>
  </w:style>
  <w:style w:type="paragraph" w:styleId="HeaderandFooter431">
    <w:name w:val="Header and Footer431"/>
    <w:basedOn w:val="Normal"/>
    <w:link w:val="HeaderandFooter43"/>
    <w:qFormat/>
    <w:pPr/>
    <w:rPr/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11">
    <w:name w:val="Subtitle11"/>
    <w:link w:val="Sub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211">
    <w:name w:val="Heading 211"/>
    <w:link w:val="Heading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2">
    <w:name w:val="Contents 12"/>
    <w:link w:val="Contents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91">
    <w:name w:val="Header and Footer91"/>
    <w:basedOn w:val="Normal"/>
    <w:link w:val="HeaderandFooter9"/>
    <w:qFormat/>
    <w:pPr/>
    <w:rPr/>
  </w:style>
  <w:style w:type="paragraph" w:styleId="HeaderandFooter351">
    <w:name w:val="Header and Footer351"/>
    <w:basedOn w:val="Normal"/>
    <w:link w:val="HeaderandFooter35"/>
    <w:qFormat/>
    <w:pPr/>
    <w:rPr/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76" w:before="0" w:after="20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76" w:before="0" w:after="20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StrongEmphasis">
    <w:name w:val="Strong Emphasis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sPlusTitle11">
    <w:name w:val="ConsPlusTitle11"/>
    <w:link w:val="ConsPlusTitle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76" w:before="567" w:after="567"/>
      <w:ind w:hanging="0" w:left="0" w:right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Internetlink2">
    <w:name w:val="Internet link2"/>
    <w:link w:val="Internetlink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HeaderandFooter201">
    <w:name w:val="Header and Footer201"/>
    <w:basedOn w:val="Normal"/>
    <w:link w:val="HeaderandFooter20"/>
    <w:qFormat/>
    <w:pPr/>
    <w:rPr/>
  </w:style>
  <w:style w:type="paragraph" w:styleId="HeaderandFooter401">
    <w:name w:val="Header and Footer401"/>
    <w:basedOn w:val="Normal"/>
    <w:link w:val="HeaderandFooter40"/>
    <w:qFormat/>
    <w:pPr/>
    <w:rPr/>
  </w:style>
  <w:style w:type="paragraph" w:styleId="Heading112">
    <w:name w:val="Heading 112"/>
    <w:link w:val="Heading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113">
    <w:name w:val="Содержимое таблицы11"/>
    <w:basedOn w:val="Normal"/>
    <w:qFormat/>
    <w:pPr/>
    <w:rPr/>
  </w:style>
  <w:style w:type="paragraph" w:styleId="114">
    <w:name w:val="Заголовок таблицы11"/>
    <w:basedOn w:val="113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Arial" pitchFamily="0" charset="1"/>
        <a:ea typeface=""/>
        <a:cs typeface="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LibreOffice/24.8.3.2$Linux_X86_64 LibreOffice_project/480$Build-2</Application>
  <AppVersion>15.0000</AppVersion>
  <Pages>4</Pages>
  <Words>1073</Words>
  <Characters>7602</Characters>
  <CharactersWithSpaces>8665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2025-12-10T16:58:55Z</cp:lastPrinted>
  <dcterms:modified xsi:type="dcterms:W3CDTF">2026-02-19T11:36:07Z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