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56D8F" w14:textId="77777777" w:rsidR="00326959" w:rsidRDefault="00326959" w:rsidP="00326959">
      <w:pPr>
        <w:spacing w:line="240" w:lineRule="atLeast"/>
        <w:jc w:val="center"/>
        <w:rPr>
          <w:b/>
        </w:rPr>
      </w:pPr>
      <w:r w:rsidRPr="00326959">
        <w:rPr>
          <w:b/>
        </w:rPr>
        <w:t>ПОЯСНИТЕЛЬНАЯ ЗАПИСКА</w:t>
      </w:r>
    </w:p>
    <w:p w14:paraId="49E8DD1E" w14:textId="77777777" w:rsidR="00326959" w:rsidRPr="00326959" w:rsidRDefault="00326959" w:rsidP="00326959">
      <w:pPr>
        <w:spacing w:line="120" w:lineRule="exact"/>
        <w:jc w:val="center"/>
        <w:rPr>
          <w:b/>
        </w:rPr>
      </w:pPr>
    </w:p>
    <w:p w14:paraId="05779D65" w14:textId="77777777" w:rsidR="00CD77B6" w:rsidRDefault="00326959" w:rsidP="00526D7F">
      <w:pPr>
        <w:spacing w:line="240" w:lineRule="atLeast"/>
        <w:jc w:val="center"/>
        <w:rPr>
          <w:b/>
          <w:bCs/>
        </w:rPr>
      </w:pPr>
      <w:r w:rsidRPr="00326959">
        <w:rPr>
          <w:b/>
        </w:rPr>
        <w:t>к проекту</w:t>
      </w:r>
      <w:r w:rsidR="00526D7F">
        <w:rPr>
          <w:b/>
        </w:rPr>
        <w:t xml:space="preserve"> областного</w:t>
      </w:r>
      <w:r w:rsidRPr="00326959">
        <w:rPr>
          <w:b/>
          <w:bCs/>
        </w:rPr>
        <w:t xml:space="preserve"> закона</w:t>
      </w:r>
      <w:r w:rsidR="00526D7F">
        <w:rPr>
          <w:b/>
          <w:bCs/>
        </w:rPr>
        <w:t xml:space="preserve"> Ленинградской области</w:t>
      </w:r>
    </w:p>
    <w:p w14:paraId="543A159C" w14:textId="763EC583" w:rsidR="00326959" w:rsidRPr="00326959" w:rsidRDefault="00302700" w:rsidP="004260AD">
      <w:pPr>
        <w:spacing w:line="240" w:lineRule="atLeast"/>
        <w:jc w:val="center"/>
        <w:rPr>
          <w:bCs/>
        </w:rPr>
      </w:pPr>
      <w:r>
        <w:rPr>
          <w:b/>
          <w:bCs/>
          <w:szCs w:val="28"/>
        </w:rPr>
        <w:t>«</w:t>
      </w:r>
      <w:r w:rsidR="004260AD" w:rsidRPr="004260AD">
        <w:rPr>
          <w:b/>
          <w:bCs/>
          <w:szCs w:val="28"/>
        </w:rPr>
        <w:t>О внесении изменений в областной закон «Об установлении ставки налога, взимаемого в связи с применением упрощенной системы налогообложения, на территории Ленинградской области» и в статью 3 областного закона «О внесении изменений в областной закон «Об установлении ставки налога, взимаемого в связи с применением упрощенной системы налогообложения, на территории Ленинградской области» и в статью 2 областного закона «О внесении изменений в областной закон «О патентной системе налогообложения на территории Ленинградской области»</w:t>
      </w:r>
    </w:p>
    <w:p w14:paraId="535BE088" w14:textId="77777777" w:rsidR="00326959" w:rsidRDefault="00326959" w:rsidP="00326959">
      <w:pPr>
        <w:rPr>
          <w:bCs/>
        </w:rPr>
      </w:pPr>
    </w:p>
    <w:p w14:paraId="7DAA11B2" w14:textId="70A319FF" w:rsidR="004260AD" w:rsidRDefault="00326959" w:rsidP="003F4857">
      <w:pPr>
        <w:ind w:firstLine="709"/>
      </w:pPr>
      <w:r w:rsidRPr="00526D7F">
        <w:t xml:space="preserve">Проект </w:t>
      </w:r>
      <w:r w:rsidR="00526D7F" w:rsidRPr="00526D7F">
        <w:t>областного закона Л</w:t>
      </w:r>
      <w:r w:rsidR="007467C3">
        <w:t xml:space="preserve">енинградской области </w:t>
      </w:r>
      <w:r w:rsidR="00302700" w:rsidRPr="00302700">
        <w:t>«</w:t>
      </w:r>
      <w:r w:rsidR="004260AD" w:rsidRPr="004260AD">
        <w:t>О внесении изменений в областной закон «Об установлении ставки налога, взимаемого в связи с применением упрощенной системы налогообложения, на территории Ленинградской области» и в статью 3 областного закона «О внесении изменений в областной закон «Об установлении ставки налога, взимаемого в связи с применением упрощенной системы налогообложения, на территории Ленинградской области» и в статью 2 областного закона «О внесении изменений в областной закон «О патентной системе налогообложения на территории Ленинградской области»</w:t>
      </w:r>
      <w:r w:rsidRPr="00526D7F">
        <w:t xml:space="preserve"> (далее </w:t>
      </w:r>
      <w:r w:rsidR="007467C3">
        <w:t>–</w:t>
      </w:r>
      <w:r w:rsidRPr="00526D7F">
        <w:t xml:space="preserve"> законопроект) разработан в целях </w:t>
      </w:r>
      <w:r w:rsidR="00F63279">
        <w:t>стимулирования развития субъектов креативных (творческих) индустрий в Ленинградской области, а также дополнительной поддержки организаций потребительской кооперации Ленинградской области, обеспечивающих реализацию населению труднодоступных и отдаленных населенных пунктов товаров первой необходимости.</w:t>
      </w:r>
    </w:p>
    <w:p w14:paraId="39ED3A8B" w14:textId="77777777" w:rsidR="00F63279" w:rsidRDefault="00F63279" w:rsidP="003F4857">
      <w:pPr>
        <w:ind w:firstLine="709"/>
      </w:pPr>
      <w:r w:rsidRPr="00F63279">
        <w:t>Развитие креативных индустрий в Российской Федерации является ключевым фактором стимулирования экономического роста, создания новых рабочих мест и повышения конкурентоспособности. Креативные (творческие) индустрии (далее – креативные индустрии) способствуют укреплению общероссийской гражданской идентичности (в том числе на основе региональных особенностей и народных традиций территорий), развитию национальной культуры и экономики, популяризации науки и культуры, продвижению традиционных российских духовно-нравственных ценностей. Соответственно, развитие креативных (творческих) индустрий направлено на достижение целей и задач государственной политики по сохранению и укреплению традиционных ценностей, определенных Указом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14:paraId="3CE4B692" w14:textId="77777777" w:rsidR="00F63279" w:rsidRDefault="00F63279" w:rsidP="003F4857">
      <w:pPr>
        <w:ind w:firstLine="709"/>
      </w:pPr>
      <w:r w:rsidRPr="00F63279">
        <w:lastRenderedPageBreak/>
        <w:t>Указом Президента Российской Федерации от 7 мая 2024 г. № 309 «О национальных целях развития Российской Федерации на период до 2030 года и на перспективу до 2036 года» (далее соответственно – Указ № 309, национальные цели) определены семь национальных целей, одна из них – устойчивая и динамичная экономика. Достижению указанной национальной цели призвано способствовать развитие креативных (творческих) индустрий. В настоящее время креативные индустрии стали важным, динамично развивающимся сектором экономики и культуры. Увеличение доли креативных индустрий оказывает непосредственное влияние на рост экономики Российской Федерации.</w:t>
      </w:r>
    </w:p>
    <w:p w14:paraId="4DD4213A" w14:textId="36B8ABF0" w:rsidR="00F63279" w:rsidRDefault="00F63279" w:rsidP="003F4857">
      <w:pPr>
        <w:ind w:firstLine="709"/>
      </w:pPr>
      <w:r w:rsidRPr="00F63279">
        <w:t>О значительном вкладе креативных индустрий в экономику свидетельствует и международный опыт. Согласно данным ЮНЕСКО, в 2022 году вклад креативных индустрий в мировой валовый внутренний продукт составил 3,1%. В некоторых странах этот показатель значительно выше, что демонстрирует потенциал для роста в России. По данным Росстата, доля валовой добавленной стоимости креативной экономики в ВВП Российской Федерации в 2024 году составила 4,1 % (7,5 трлн рублей); в 2023 году</w:t>
      </w:r>
      <w:r>
        <w:t xml:space="preserve"> –</w:t>
      </w:r>
      <w:r w:rsidRPr="00F63279">
        <w:t xml:space="preserve"> 3,8% (6 трлн рублей); в 2022 г</w:t>
      </w:r>
      <w:r>
        <w:t>оду</w:t>
      </w:r>
      <w:r w:rsidRPr="00F63279">
        <w:t xml:space="preserve"> – 3,2% (4,6 трлн рублей). Наибольшая доля валовой добавленной стоимости (ВДС) креативных индустрий в ВДС креативной экономики в 2024 г. отмечается в таких сферах, как программное обеспечение (35,0 %), реклама и пиар (14,2%), гастрономия (10,6%). Единым планом по достижению национальных целей развития Российской Федерации до 2030 года и на перспективу до 2036 года (далее – Единый план) поставлена задача увеличения доли креативных индустрий и утвержден соответствующий статистический индикатор, значение которого к 2030 году должно достичь 6%</w:t>
      </w:r>
      <w:r>
        <w:t>.</w:t>
      </w:r>
    </w:p>
    <w:p w14:paraId="79C61A32" w14:textId="38773D01" w:rsidR="00F63279" w:rsidRDefault="00F63279" w:rsidP="003F4857">
      <w:pPr>
        <w:ind w:firstLine="709"/>
      </w:pPr>
      <w:r w:rsidRPr="00F63279">
        <w:t xml:space="preserve">Доля валовой добавленной стоимости креативной экономики в валовом региональном продукте </w:t>
      </w:r>
      <w:r>
        <w:t>Ленинградской области, по данным Росстата, в 2023 году составила 1,7% (33,3 млрд рублей), в 2022 году – 1,7% (</w:t>
      </w:r>
      <w:r w:rsidR="00380250">
        <w:t>28,5 млрд рублей</w:t>
      </w:r>
      <w:r>
        <w:t>), в 2021 году – 1,5%</w:t>
      </w:r>
      <w:r w:rsidR="00380250">
        <w:t xml:space="preserve"> (22,2 млрд рублей). Для достижения обозначенной национальной цели Ленинградской области необходимости к 2030 году обеспечить достижение указанного показателя на уровне не ниже 3%.</w:t>
      </w:r>
    </w:p>
    <w:p w14:paraId="4BCFC8D5" w14:textId="77777777" w:rsidR="00380250" w:rsidRDefault="00F63279" w:rsidP="003F4857">
      <w:pPr>
        <w:ind w:firstLine="709"/>
      </w:pPr>
      <w:r w:rsidRPr="00F63279">
        <w:t xml:space="preserve">Достижение целевых показателей креативных индустрий в экономике возможно посредством разработки и внедрения механизмов, направленных на развитие и поддержку сектора, что является приоритетной задачей государственных органов власти. Ключевыми факторами и инструментами таких механизмов является поддержка сектора креативных индустрий на федеральном и региональном уровнях, включающая в себя финансирование (субсидии и гранты), </w:t>
      </w:r>
      <w:r w:rsidR="00380250">
        <w:t xml:space="preserve">налоговое стимулирование, </w:t>
      </w:r>
      <w:r w:rsidRPr="00F63279">
        <w:t xml:space="preserve">имущественную поддержку (передача во владение или пользование государственного имущества), образовательные программы в сфере креативных индустрий, а также развитие </w:t>
      </w:r>
      <w:r w:rsidRPr="00F63279">
        <w:lastRenderedPageBreak/>
        <w:t>инфраструктуры сектора креативных индустрий, в том числе путем формирования единой экосистемы за счет создания креативных пространств, включая креативные кластеры, в которых будут созданы необходимые условия для взаимодействия представителей сектора с учетом особенностей экономики регионов. Кроме этого, важным направлением развития является увеличение инвестиционного потенциала сферы креативных индустрий посредством обеспечения информационного сопровождения и повышения узнаваемости.</w:t>
      </w:r>
    </w:p>
    <w:p w14:paraId="179FC53C" w14:textId="2CB71A4E" w:rsidR="00F63279" w:rsidRDefault="00380250" w:rsidP="003F4857">
      <w:pPr>
        <w:ind w:firstLine="709"/>
      </w:pPr>
      <w:r>
        <w:t>Ленинградская область в числе первых регионов страны сформировала п</w:t>
      </w:r>
      <w:r w:rsidR="00F63279" w:rsidRPr="00F63279">
        <w:t>равовую базу регулирования и поддержки сектора</w:t>
      </w:r>
      <w:r>
        <w:t xml:space="preserve"> креативной экономики в соответствии с положениями</w:t>
      </w:r>
      <w:r w:rsidR="00F63279" w:rsidRPr="00F63279">
        <w:t xml:space="preserve"> Федеральн</w:t>
      </w:r>
      <w:r>
        <w:t>ого</w:t>
      </w:r>
      <w:r w:rsidR="00F63279" w:rsidRPr="00F63279">
        <w:t xml:space="preserve"> закон</w:t>
      </w:r>
      <w:r>
        <w:t>а</w:t>
      </w:r>
      <w:r w:rsidR="00F63279" w:rsidRPr="00F63279">
        <w:t xml:space="preserve"> от 8 августа 2024 г. № 330-ФЗ «О развитии креативных (творческих) индустрий в Российской Федерации» (далее – Закон № 330-ФЗ), положения которого являются основой для осуществления полномочий федеральных и региональных органов власти.</w:t>
      </w:r>
    </w:p>
    <w:p w14:paraId="7BFA8E9C" w14:textId="77777777" w:rsidR="00FE3524" w:rsidRDefault="004D12DB" w:rsidP="003F4857">
      <w:pPr>
        <w:ind w:firstLine="709"/>
      </w:pPr>
      <w:r>
        <w:t xml:space="preserve">Наряду с формируемой в Ленинградской области системой финансовой и нефинансовой поддержки для субъектов креативных индустрий законопроектом предлагается установить льготную ставку по налогу, уплачиваемому в связи с применением упрощенной системы налогообложения, для налоговой базы «доходы» в размере 2 (двух) процентов </w:t>
      </w:r>
      <w:r w:rsidR="000A538B">
        <w:t xml:space="preserve">(вместо базовых 6 (шести) процентов) на период с 2026 по 2030 год (включительно). </w:t>
      </w:r>
      <w:r w:rsidR="00FE3524">
        <w:t xml:space="preserve">Установление налоговой льготы позволит сократить </w:t>
      </w:r>
      <w:r w:rsidR="00FE3524" w:rsidRPr="00FE3524">
        <w:t>издерж</w:t>
      </w:r>
      <w:r w:rsidR="00FE3524">
        <w:t>ки</w:t>
      </w:r>
      <w:r w:rsidR="00FE3524" w:rsidRPr="00FE3524">
        <w:t xml:space="preserve"> субъектов креативных индустрий и стимулирова</w:t>
      </w:r>
      <w:r w:rsidR="00FE3524">
        <w:t>ть</w:t>
      </w:r>
      <w:r w:rsidR="00FE3524" w:rsidRPr="00FE3524">
        <w:t xml:space="preserve"> их деятельност</w:t>
      </w:r>
      <w:r w:rsidR="00FE3524">
        <w:t>ь в Ленинградской области, что в конечном итоге позволит обеспечить достижение установленного показателя по увеличению доли валовой добавленной стоимости креативной экономики в валовом региональном продукте Ленинградской области.</w:t>
      </w:r>
    </w:p>
    <w:p w14:paraId="46750745" w14:textId="731DED6B" w:rsidR="00380250" w:rsidRDefault="00B24E4A" w:rsidP="003F4857">
      <w:pPr>
        <w:ind w:firstLine="709"/>
      </w:pPr>
      <w:r>
        <w:t xml:space="preserve">За 2024 год количество плательщиков налога по УСН (с базой «доходы») по видам деятельности в сфере креативных индустрий составило 1829 субъектов. С учетом прогнозируемого количества потенциальных субъектов креативных индустрий из числа хозяйствующих субъектов, ведущих соответствующие виды деятельности, ожидаемое количество получателей налоговой льготы оценивается в 800 субъектов. </w:t>
      </w:r>
      <w:r w:rsidR="000A538B">
        <w:t>При этом стоит отметить,</w:t>
      </w:r>
      <w:r w:rsidR="00FE3524">
        <w:t xml:space="preserve"> что по некотором видам деятельности (ремесленная деятельность, производство игр и игрушек) из числа креативных индустрий уже действуют более льготные налоговые ставки, также часть субъектов креативных индустрий, имеющих статус социального предприятия, также пользуются более льготными ставками.</w:t>
      </w:r>
    </w:p>
    <w:p w14:paraId="41D57DB0" w14:textId="31CB424C" w:rsidR="004260AD" w:rsidRDefault="007F1B42" w:rsidP="003F4857">
      <w:pPr>
        <w:ind w:firstLine="709"/>
      </w:pPr>
      <w:r>
        <w:t xml:space="preserve">Также законопроектом предлагается сохранить на период до 2030 года (включительно) действующую с 2021 по 2025 год (включительно) льготную налоговую ставку в </w:t>
      </w:r>
      <w:r w:rsidRPr="007F1B42">
        <w:t xml:space="preserve">размере двух процентов для категории налогоплательщиков </w:t>
      </w:r>
      <w:r>
        <w:t>–</w:t>
      </w:r>
      <w:r w:rsidRPr="007F1B42">
        <w:t xml:space="preserve"> организаций потребительской кооперации, зарегистрированных и осуществляющих свою деятельность на территории Ленинградской области в соответствии с Законом Российской Федерации от 19 июня 1992 года N 3085-I </w:t>
      </w:r>
      <w:r>
        <w:lastRenderedPageBreak/>
        <w:t>«</w:t>
      </w:r>
      <w:r w:rsidRPr="007F1B42">
        <w:t>О потребительской кооперации (потребительских обществах, их союзах) в Российской Федерации</w:t>
      </w:r>
      <w:r>
        <w:t>»</w:t>
      </w:r>
      <w:r w:rsidRPr="007F1B42">
        <w:t xml:space="preserve">, а также для хозяйственных обществ, единственными учредителями которых </w:t>
      </w:r>
      <w:r>
        <w:t xml:space="preserve">они </w:t>
      </w:r>
      <w:r w:rsidRPr="007F1B42">
        <w:t>являются, выбравших в качестве объекта налогообложения доходы.</w:t>
      </w:r>
    </w:p>
    <w:p w14:paraId="7DD31FF8" w14:textId="6F8BC6BF" w:rsidR="00CF6396" w:rsidRDefault="00CF6396" w:rsidP="00CF6396">
      <w:pPr>
        <w:ind w:firstLine="709"/>
      </w:pPr>
      <w:r>
        <w:t xml:space="preserve">Организации потребительской кооперации системы </w:t>
      </w:r>
      <w:proofErr w:type="spellStart"/>
      <w:r>
        <w:t>Леноблпотребсоюза</w:t>
      </w:r>
      <w:proofErr w:type="spellEnd"/>
      <w:r>
        <w:t xml:space="preserve"> обслуживают 724 населенных пункта Ленинградской области, из них около 400 населенных пунктов с численностью от 10 до 100 человек. Семьдесят процентов объектов торговли находятся в сельской местности. Из-за низких доходов населения, роста коммунальных платежей оборот розничной торговли за последние годы снизился на 15 процентов, в результате торговля в сельских магазинах </w:t>
      </w:r>
      <w:r>
        <w:t xml:space="preserve">остается </w:t>
      </w:r>
      <w:r>
        <w:t>убыточн</w:t>
      </w:r>
      <w:r>
        <w:t>ой и без государственной поддержки не имеет шансов на сохранение</w:t>
      </w:r>
      <w:r>
        <w:t xml:space="preserve">. </w:t>
      </w:r>
    </w:p>
    <w:p w14:paraId="38816AF1" w14:textId="56814AF7" w:rsidR="00CF6396" w:rsidRDefault="00CF6396" w:rsidP="00CF6396">
      <w:pPr>
        <w:ind w:firstLine="709"/>
      </w:pPr>
      <w:r>
        <w:t xml:space="preserve">По данным </w:t>
      </w:r>
      <w:proofErr w:type="spellStart"/>
      <w:r>
        <w:t>Леноблпотребсоюза</w:t>
      </w:r>
      <w:proofErr w:type="spellEnd"/>
      <w:r>
        <w:t xml:space="preserve"> с</w:t>
      </w:r>
      <w:r>
        <w:t>умма убытка по торговле за 9 месяцев 2025 года составила более 120 млн рублей, за аналогичный период 2024 года – 82 млн рублей</w:t>
      </w:r>
      <w:r>
        <w:t>,</w:t>
      </w:r>
      <w:r>
        <w:t xml:space="preserve"> </w:t>
      </w:r>
      <w:r>
        <w:t>п</w:t>
      </w:r>
      <w:r>
        <w:t>ри этом организации</w:t>
      </w:r>
      <w:r>
        <w:t xml:space="preserve"> потребкоопе</w:t>
      </w:r>
      <w:r w:rsidR="00DB5B45">
        <w:t>р</w:t>
      </w:r>
      <w:r>
        <w:t>ации</w:t>
      </w:r>
      <w:r>
        <w:t xml:space="preserve"> являются добросовестными налогоплательщиками. По оперативным данным общая сумма уплаченных налогов за 2025 год составит 489 млн</w:t>
      </w:r>
      <w:r>
        <w:t xml:space="preserve"> </w:t>
      </w:r>
      <w:r>
        <w:t xml:space="preserve">рублей (2024 год – 356 млн рублей). </w:t>
      </w:r>
    </w:p>
    <w:p w14:paraId="3C460757" w14:textId="4487D0B0" w:rsidR="00CF6396" w:rsidRDefault="00CF6396" w:rsidP="00CF6396">
      <w:pPr>
        <w:ind w:firstLine="709"/>
      </w:pPr>
      <w:r>
        <w:t xml:space="preserve">В связи с </w:t>
      </w:r>
      <w:r>
        <w:t>внесенными</w:t>
      </w:r>
      <w:r>
        <w:t xml:space="preserve"> в действующее </w:t>
      </w:r>
      <w:r>
        <w:t>н</w:t>
      </w:r>
      <w:r>
        <w:t>алоговое законодательство РФ</w:t>
      </w:r>
      <w:r>
        <w:t xml:space="preserve"> изменениями</w:t>
      </w:r>
      <w:r>
        <w:t xml:space="preserve"> большинство организаций потребительской кооперации </w:t>
      </w:r>
      <w:proofErr w:type="spellStart"/>
      <w:r>
        <w:t>Леноблпотребсоюза</w:t>
      </w:r>
      <w:proofErr w:type="spellEnd"/>
      <w:r>
        <w:t>, применяющие упрощенную систему налогообложения, с 1 января 2025 года являются плательщиками налога на добавленную стоимость (НДС), в связи с этим налоговая нагрузка увеличилась в несколько раз.</w:t>
      </w:r>
      <w:r>
        <w:t xml:space="preserve"> Так, з</w:t>
      </w:r>
      <w:r>
        <w:t xml:space="preserve">а 2025 год </w:t>
      </w:r>
      <w:r>
        <w:t xml:space="preserve">общая уплаченная </w:t>
      </w:r>
      <w:r>
        <w:t>сумма НДС составит примерно 140 млн рублей</w:t>
      </w:r>
      <w:r>
        <w:t>, в то время как</w:t>
      </w:r>
      <w:r>
        <w:t xml:space="preserve"> </w:t>
      </w:r>
      <w:r>
        <w:t>з</w:t>
      </w:r>
      <w:r>
        <w:t>а 2024 год сумма налога составила 46 млн рублей</w:t>
      </w:r>
      <w:r>
        <w:t xml:space="preserve"> (НДС уплачивали только организации потребкооперации на общей системе налогообложения)</w:t>
      </w:r>
      <w:r>
        <w:t xml:space="preserve">. </w:t>
      </w:r>
    </w:p>
    <w:p w14:paraId="0CCF61CA" w14:textId="77777777" w:rsidR="00CF6396" w:rsidRDefault="00CF6396" w:rsidP="00CF6396">
      <w:pPr>
        <w:ind w:firstLine="709"/>
      </w:pPr>
      <w:r>
        <w:t>С учетом планируемых изменений в налоговом законодательстве (</w:t>
      </w:r>
      <w:r>
        <w:t>законопроект № 1026190-8 «О внесении изменений в части первую и вторую Налогового кодекса Российской Федерации и отдельные законодательные акты Российской Федерации»</w:t>
      </w:r>
      <w:r>
        <w:t>)</w:t>
      </w:r>
      <w:r>
        <w:t>, вступление в силу которых ожидается с 1 января 2026 года</w:t>
      </w:r>
      <w:r>
        <w:t xml:space="preserve">, ожидается </w:t>
      </w:r>
      <w:r>
        <w:t>снижение порога доходов для налогоплательщиков, применяющих упрощенную систему налогообложения, при превышении которого возникает обязанность по уплате НДС</w:t>
      </w:r>
      <w:r>
        <w:t>,</w:t>
      </w:r>
      <w:r>
        <w:t xml:space="preserve"> с 60 млн рублей до 10 млн рублей,</w:t>
      </w:r>
      <w:r>
        <w:t xml:space="preserve"> а также</w:t>
      </w:r>
      <w:r>
        <w:t xml:space="preserve"> повышение стандартной ставки НДС с 20 % до 22 %</w:t>
      </w:r>
      <w:r>
        <w:t>. Кроме того, для организаций торговли планируется</w:t>
      </w:r>
      <w:r>
        <w:t xml:space="preserve"> отмена льготной ставки по страховым взносам.</w:t>
      </w:r>
    </w:p>
    <w:p w14:paraId="73229EBF" w14:textId="76C367DE" w:rsidR="007F1B42" w:rsidRDefault="00CF6396" w:rsidP="00CF6396">
      <w:pPr>
        <w:ind w:firstLine="709"/>
      </w:pPr>
      <w:r>
        <w:t>После принятия указанных изменений налогового законодательства</w:t>
      </w:r>
      <w:r>
        <w:t xml:space="preserve"> абсолютно все организации </w:t>
      </w:r>
      <w:proofErr w:type="spellStart"/>
      <w:r>
        <w:t>Леноблпотребсоюза</w:t>
      </w:r>
      <w:proofErr w:type="spellEnd"/>
      <w:r>
        <w:t xml:space="preserve"> станут плательщиками НДС. По </w:t>
      </w:r>
      <w:r>
        <w:t xml:space="preserve">предварительным </w:t>
      </w:r>
      <w:r>
        <w:t xml:space="preserve">прогнозам общая сумма налогов </w:t>
      </w:r>
      <w:r>
        <w:t xml:space="preserve">в 2026 году </w:t>
      </w:r>
      <w:r>
        <w:t xml:space="preserve">составит 586 </w:t>
      </w:r>
      <w:r>
        <w:lastRenderedPageBreak/>
        <w:t xml:space="preserve">млн рублей, сумма НДС увеличится примерно до 160 </w:t>
      </w:r>
      <w:r>
        <w:t xml:space="preserve">(+20) </w:t>
      </w:r>
      <w:r>
        <w:t>млн рублей, сумма страховых взносов увеличится на 44 млн рублей.</w:t>
      </w:r>
    </w:p>
    <w:p w14:paraId="359C23BB" w14:textId="4A16C492" w:rsidR="00CF6396" w:rsidRDefault="00CF6396" w:rsidP="00CF6396">
      <w:pPr>
        <w:ind w:firstLine="709"/>
      </w:pPr>
      <w:r>
        <w:t>Продление льготной ставки по УСН для организаций потребительской кооперации Ленинградской области позволит не допустить кратного роста налоговой нагрузки на организации, осуществляющие снабжение населения труднодоступных и отдаленных населенных пунктов</w:t>
      </w:r>
      <w:r w:rsidR="006B0875">
        <w:t xml:space="preserve"> товарами первой необходимости, а также позволит минимизировать рост цен на продукты для жителей таких населенных пунктов в связи с возросшими издержками организаций потребительской кооперации.</w:t>
      </w:r>
    </w:p>
    <w:p w14:paraId="2868DABF" w14:textId="77777777" w:rsidR="001A1EA5" w:rsidRDefault="001A1EA5" w:rsidP="001A1EA5"/>
    <w:p w14:paraId="599C975E" w14:textId="77777777" w:rsidR="004E7AE5" w:rsidRDefault="004E7AE5" w:rsidP="001A1EA5"/>
    <w:p w14:paraId="6767E403" w14:textId="77777777" w:rsidR="004E7AE5" w:rsidRDefault="004E7AE5" w:rsidP="001A1EA5"/>
    <w:p w14:paraId="17A33264" w14:textId="77777777" w:rsidR="001A1EA5" w:rsidRDefault="001A1EA5" w:rsidP="001A1EA5">
      <w:r>
        <w:t xml:space="preserve">Председатель комитета </w:t>
      </w:r>
    </w:p>
    <w:p w14:paraId="6AD0DDFF" w14:textId="77777777" w:rsidR="001A1EA5" w:rsidRDefault="001A1EA5" w:rsidP="001A1EA5">
      <w:r>
        <w:t xml:space="preserve">по развитию малого, среднего бизнеса </w:t>
      </w:r>
    </w:p>
    <w:p w14:paraId="69E17E43" w14:textId="77777777" w:rsidR="001A1EA5" w:rsidRPr="00326959" w:rsidRDefault="001A1EA5" w:rsidP="001A1EA5">
      <w:r>
        <w:t xml:space="preserve">и потребительского рынка Ленинградской области         </w:t>
      </w:r>
      <w:r w:rsidR="008A7E77">
        <w:t xml:space="preserve">   </w:t>
      </w:r>
      <w:r>
        <w:t xml:space="preserve">             С.И. Нерушай</w:t>
      </w:r>
    </w:p>
    <w:sectPr w:rsidR="001A1EA5" w:rsidRPr="00326959" w:rsidSect="004E7AE5">
      <w:headerReference w:type="default" r:id="rId6"/>
      <w:headerReference w:type="first" r:id="rId7"/>
      <w:pgSz w:w="11907" w:h="16840" w:code="9"/>
      <w:pgMar w:top="1418" w:right="737" w:bottom="993" w:left="1588" w:header="709" w:footer="709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2E73B" w14:textId="77777777" w:rsidR="000F3EEC" w:rsidRDefault="000F3EEC">
      <w:r>
        <w:separator/>
      </w:r>
    </w:p>
  </w:endnote>
  <w:endnote w:type="continuationSeparator" w:id="0">
    <w:p w14:paraId="03403843" w14:textId="77777777" w:rsidR="000F3EEC" w:rsidRDefault="000F3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F115C" w14:textId="77777777" w:rsidR="000F3EEC" w:rsidRDefault="000F3EEC">
      <w:r>
        <w:separator/>
      </w:r>
    </w:p>
  </w:footnote>
  <w:footnote w:type="continuationSeparator" w:id="0">
    <w:p w14:paraId="683767C2" w14:textId="77777777" w:rsidR="000F3EEC" w:rsidRDefault="000F3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7DAFE" w14:textId="77777777" w:rsidR="007467C3" w:rsidRDefault="007467C3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3F4857"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3AE95" w14:textId="77777777" w:rsidR="007467C3" w:rsidRDefault="007467C3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108"/>
    <w:rsid w:val="000008AA"/>
    <w:rsid w:val="00001431"/>
    <w:rsid w:val="00027140"/>
    <w:rsid w:val="000A4DF3"/>
    <w:rsid w:val="000A538B"/>
    <w:rsid w:val="000D1934"/>
    <w:rsid w:val="000F26C7"/>
    <w:rsid w:val="000F3EEC"/>
    <w:rsid w:val="00141389"/>
    <w:rsid w:val="001429EB"/>
    <w:rsid w:val="00155CF8"/>
    <w:rsid w:val="0018754B"/>
    <w:rsid w:val="001A1EA5"/>
    <w:rsid w:val="001D4C32"/>
    <w:rsid w:val="001F3637"/>
    <w:rsid w:val="00222BF3"/>
    <w:rsid w:val="00265956"/>
    <w:rsid w:val="002944D7"/>
    <w:rsid w:val="002B51EF"/>
    <w:rsid w:val="002E091E"/>
    <w:rsid w:val="00300F01"/>
    <w:rsid w:val="00302700"/>
    <w:rsid w:val="00304FD8"/>
    <w:rsid w:val="00313FC7"/>
    <w:rsid w:val="00326959"/>
    <w:rsid w:val="00342BEB"/>
    <w:rsid w:val="00380250"/>
    <w:rsid w:val="00397684"/>
    <w:rsid w:val="003C2D3A"/>
    <w:rsid w:val="003F4857"/>
    <w:rsid w:val="00402B99"/>
    <w:rsid w:val="00424BA1"/>
    <w:rsid w:val="004260AD"/>
    <w:rsid w:val="00426ACB"/>
    <w:rsid w:val="004A2D9D"/>
    <w:rsid w:val="004B2376"/>
    <w:rsid w:val="004B4180"/>
    <w:rsid w:val="004C5B85"/>
    <w:rsid w:val="004D12DB"/>
    <w:rsid w:val="004D4F9E"/>
    <w:rsid w:val="004E7AE5"/>
    <w:rsid w:val="005039CE"/>
    <w:rsid w:val="00526D7F"/>
    <w:rsid w:val="00544EF2"/>
    <w:rsid w:val="00560401"/>
    <w:rsid w:val="00564A61"/>
    <w:rsid w:val="00600EC8"/>
    <w:rsid w:val="00694D56"/>
    <w:rsid w:val="006B0875"/>
    <w:rsid w:val="006B2327"/>
    <w:rsid w:val="006F2192"/>
    <w:rsid w:val="00723DE9"/>
    <w:rsid w:val="007467C3"/>
    <w:rsid w:val="00763C3E"/>
    <w:rsid w:val="007A034D"/>
    <w:rsid w:val="007A6C2C"/>
    <w:rsid w:val="007F1B42"/>
    <w:rsid w:val="008219FE"/>
    <w:rsid w:val="00850D58"/>
    <w:rsid w:val="0087593A"/>
    <w:rsid w:val="008A7E77"/>
    <w:rsid w:val="009012FE"/>
    <w:rsid w:val="00917730"/>
    <w:rsid w:val="00925FB5"/>
    <w:rsid w:val="00955157"/>
    <w:rsid w:val="009B1477"/>
    <w:rsid w:val="00A14108"/>
    <w:rsid w:val="00A62862"/>
    <w:rsid w:val="00AE4C57"/>
    <w:rsid w:val="00B0422C"/>
    <w:rsid w:val="00B12518"/>
    <w:rsid w:val="00B20D46"/>
    <w:rsid w:val="00B24E4A"/>
    <w:rsid w:val="00B26D02"/>
    <w:rsid w:val="00B54AAE"/>
    <w:rsid w:val="00B60DA8"/>
    <w:rsid w:val="00BA27AB"/>
    <w:rsid w:val="00CD7729"/>
    <w:rsid w:val="00CD77B6"/>
    <w:rsid w:val="00CF1948"/>
    <w:rsid w:val="00CF324E"/>
    <w:rsid w:val="00CF6396"/>
    <w:rsid w:val="00D6260B"/>
    <w:rsid w:val="00DB58FB"/>
    <w:rsid w:val="00DB5B45"/>
    <w:rsid w:val="00E424BA"/>
    <w:rsid w:val="00ED44A8"/>
    <w:rsid w:val="00F11DB8"/>
    <w:rsid w:val="00F25901"/>
    <w:rsid w:val="00F63279"/>
    <w:rsid w:val="00FA62F4"/>
    <w:rsid w:val="00FC1CC8"/>
    <w:rsid w:val="00FC489B"/>
    <w:rsid w:val="00F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753DF"/>
  <w15:docId w15:val="{CB99A199-16DE-4153-A6C9-8AB3A19B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CF19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F1948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7F1B42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F1B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2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6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1984">
                  <w:marLeft w:val="0"/>
                  <w:marRight w:val="0"/>
                  <w:marTop w:val="255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45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96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773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98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0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94955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56103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0326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366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6959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6194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6297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1512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4431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77178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3769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34097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89514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6775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71469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2877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03440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1573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886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13932520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2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17883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2291815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380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5227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6631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282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5000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08867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4858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9705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558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5460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57281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18790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28422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917627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451730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82604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205802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762918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57978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28644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903182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91511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391282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122408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60241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91489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758485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47569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3357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9320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2947070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355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757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77899687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87272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18617719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2995077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801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1689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1101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3571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7551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162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017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4650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8005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3399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88012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54345737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93443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697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24284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84641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3685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57942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0407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3184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8100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10788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8744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1397921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61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611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684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878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10935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82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05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2727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26122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11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85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533364">
                  <w:marLeft w:val="0"/>
                  <w:marRight w:val="0"/>
                  <w:marTop w:val="0"/>
                  <w:marBottom w:val="12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422496">
                  <w:marLeft w:val="0"/>
                  <w:marRight w:val="0"/>
                  <w:marTop w:val="255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30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09719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35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1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23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016266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6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22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91981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8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2012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1670</Words>
  <Characters>9521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11169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Максим Федоров</cp:lastModifiedBy>
  <cp:revision>13</cp:revision>
  <cp:lastPrinted>2023-04-12T06:19:00Z</cp:lastPrinted>
  <dcterms:created xsi:type="dcterms:W3CDTF">2025-10-28T07:01:00Z</dcterms:created>
  <dcterms:modified xsi:type="dcterms:W3CDTF">2025-10-28T20:10:00Z</dcterms:modified>
</cp:coreProperties>
</file>