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485" w:rsidRDefault="00F2348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5"/>
        <w:tblW w:w="954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09"/>
        <w:gridCol w:w="505"/>
        <w:gridCol w:w="404"/>
        <w:gridCol w:w="2322"/>
        <w:gridCol w:w="1077"/>
        <w:gridCol w:w="4323"/>
      </w:tblGrid>
      <w:tr w:rsidR="00F23485">
        <w:trPr>
          <w:trHeight w:val="1021"/>
        </w:trPr>
        <w:tc>
          <w:tcPr>
            <w:tcW w:w="4140" w:type="dxa"/>
            <w:gridSpan w:val="4"/>
          </w:tcPr>
          <w:p w:rsidR="00F23485" w:rsidRDefault="00B06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6"/>
                <w:szCs w:val="26"/>
              </w:rPr>
            </w:pPr>
            <w:bookmarkStart w:id="1" w:name="_gjdgxs" w:colFirst="0" w:colLast="0"/>
            <w:bookmarkEnd w:id="1"/>
            <w:r>
              <w:rPr>
                <w:b/>
                <w:noProof/>
                <w:color w:val="000000"/>
                <w:sz w:val="18"/>
                <w:szCs w:val="18"/>
              </w:rPr>
              <w:drawing>
                <wp:inline distT="0" distB="0" distL="114300" distR="114300">
                  <wp:extent cx="644525" cy="643890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525" cy="6438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</w:tcPr>
          <w:p w:rsidR="00F23485" w:rsidRDefault="00F23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4323" w:type="dxa"/>
          </w:tcPr>
          <w:p w:rsidR="00F23485" w:rsidRDefault="00F23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1418"/>
              <w:rPr>
                <w:b/>
                <w:color w:val="000000"/>
                <w:sz w:val="28"/>
                <w:szCs w:val="28"/>
              </w:rPr>
            </w:pPr>
          </w:p>
        </w:tc>
      </w:tr>
      <w:tr w:rsidR="00F23485">
        <w:trPr>
          <w:cantSplit/>
          <w:trHeight w:val="2030"/>
        </w:trPr>
        <w:tc>
          <w:tcPr>
            <w:tcW w:w="4140" w:type="dxa"/>
            <w:gridSpan w:val="4"/>
          </w:tcPr>
          <w:p w:rsidR="00F23485" w:rsidRDefault="00B06A6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МИНФИН РОССИИ</w:t>
            </w:r>
          </w:p>
          <w:p w:rsidR="00F23485" w:rsidRDefault="00B06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ФЕДЕРАЛЬНАЯ НАЛОГОВАЯ СЛУЖБА</w:t>
            </w:r>
          </w:p>
          <w:p w:rsidR="00F23485" w:rsidRDefault="00F23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0"/>
              </w:tabs>
              <w:jc w:val="center"/>
              <w:rPr>
                <w:color w:val="000000"/>
                <w:sz w:val="8"/>
                <w:szCs w:val="8"/>
              </w:rPr>
            </w:pPr>
          </w:p>
          <w:p w:rsidR="00F23485" w:rsidRDefault="00B06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0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УПРАВЛЕНИЕ</w:t>
            </w:r>
          </w:p>
          <w:p w:rsidR="00F23485" w:rsidRDefault="00B06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0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ФЕДЕРАЛЬНОЙ НАЛОГОВОЙ СЛУЖБЫ</w:t>
            </w:r>
          </w:p>
          <w:p w:rsidR="00F23485" w:rsidRDefault="00B06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0"/>
              </w:tabs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ПО ЛЕНИНГРАДСКОЙ ОБЛАСТИ</w:t>
            </w:r>
          </w:p>
          <w:p w:rsidR="00F23485" w:rsidRDefault="00F23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0"/>
              </w:tabs>
              <w:jc w:val="center"/>
              <w:rPr>
                <w:color w:val="000000"/>
                <w:sz w:val="8"/>
                <w:szCs w:val="8"/>
              </w:rPr>
            </w:pPr>
          </w:p>
          <w:p w:rsidR="00F23485" w:rsidRDefault="00B06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0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(УФНС России по Ленинградской области)</w:t>
            </w:r>
          </w:p>
          <w:p w:rsidR="00F23485" w:rsidRDefault="00F23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0"/>
              </w:tabs>
              <w:jc w:val="center"/>
              <w:rPr>
                <w:color w:val="000000"/>
                <w:sz w:val="8"/>
                <w:szCs w:val="8"/>
              </w:rPr>
            </w:pPr>
          </w:p>
          <w:p w:rsidR="00F23485" w:rsidRDefault="00B06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0"/>
              </w:tabs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пр. Металлистов, 34, г. Санкт-Петербург, 195027</w:t>
            </w:r>
          </w:p>
          <w:p w:rsidR="00F23485" w:rsidRDefault="00B06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0"/>
              </w:tabs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Телефон/факс:(812) 679-59-14</w:t>
            </w:r>
          </w:p>
          <w:p w:rsidR="00F23485" w:rsidRDefault="00B06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www</w:t>
            </w:r>
            <w:proofErr w:type="spellEnd"/>
            <w:r>
              <w:rPr>
                <w:color w:val="000000"/>
                <w:sz w:val="16"/>
                <w:szCs w:val="16"/>
              </w:rPr>
              <w:t>. nalog.gov.ru</w:t>
            </w:r>
          </w:p>
        </w:tc>
        <w:tc>
          <w:tcPr>
            <w:tcW w:w="1077" w:type="dxa"/>
            <w:vMerge w:val="restart"/>
            <w:tcMar>
              <w:top w:w="0" w:type="dxa"/>
              <w:left w:w="89" w:type="dxa"/>
              <w:bottom w:w="0" w:type="dxa"/>
              <w:right w:w="89" w:type="dxa"/>
            </w:tcMar>
          </w:tcPr>
          <w:p w:rsidR="00F23485" w:rsidRDefault="00F23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4323" w:type="dxa"/>
            <w:vMerge w:val="restart"/>
            <w:tcMar>
              <w:top w:w="0" w:type="dxa"/>
              <w:left w:w="89" w:type="dxa"/>
              <w:bottom w:w="0" w:type="dxa"/>
              <w:right w:w="89" w:type="dxa"/>
            </w:tcMar>
          </w:tcPr>
          <w:p w:rsidR="00F23485" w:rsidRDefault="00B06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Председателю постоянной комиссии по бюджету и налогам</w:t>
            </w:r>
          </w:p>
          <w:p w:rsidR="00F23485" w:rsidRDefault="00B06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Законодательного собрания</w:t>
            </w:r>
          </w:p>
          <w:p w:rsidR="00F23485" w:rsidRDefault="00B06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Ленинградской области</w:t>
            </w:r>
          </w:p>
          <w:p w:rsidR="00F23485" w:rsidRDefault="00F23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  <w:p w:rsidR="00F23485" w:rsidRDefault="00B06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Н.И. </w:t>
            </w:r>
            <w:proofErr w:type="spellStart"/>
            <w:r>
              <w:rPr>
                <w:color w:val="000000"/>
                <w:sz w:val="26"/>
                <w:szCs w:val="26"/>
              </w:rPr>
              <w:t>Пустотину</w:t>
            </w:r>
            <w:proofErr w:type="spellEnd"/>
          </w:p>
          <w:p w:rsidR="00F23485" w:rsidRDefault="00F23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  <w:p w:rsidR="00F23485" w:rsidRDefault="00F23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  <w:p w:rsidR="00F23485" w:rsidRDefault="00F23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  <w:p w:rsidR="00F23485" w:rsidRDefault="00F23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F23485" w:rsidRDefault="00F2348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F23485">
        <w:trPr>
          <w:cantSplit/>
          <w:trHeight w:val="397"/>
        </w:trPr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23485" w:rsidRDefault="00F23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404" w:type="dxa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F23485" w:rsidRDefault="00B06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F23485" w:rsidRDefault="00F23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vMerge/>
            <w:tcMar>
              <w:top w:w="0" w:type="dxa"/>
              <w:left w:w="89" w:type="dxa"/>
              <w:bottom w:w="0" w:type="dxa"/>
              <w:right w:w="89" w:type="dxa"/>
            </w:tcMar>
          </w:tcPr>
          <w:p w:rsidR="00F23485" w:rsidRDefault="00F234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323" w:type="dxa"/>
            <w:vMerge/>
            <w:tcMar>
              <w:top w:w="0" w:type="dxa"/>
              <w:left w:w="89" w:type="dxa"/>
              <w:bottom w:w="0" w:type="dxa"/>
              <w:right w:w="89" w:type="dxa"/>
            </w:tcMar>
          </w:tcPr>
          <w:p w:rsidR="00F23485" w:rsidRDefault="00F234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F23485">
        <w:trPr>
          <w:cantSplit/>
          <w:trHeight w:val="227"/>
        </w:trPr>
        <w:tc>
          <w:tcPr>
            <w:tcW w:w="141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23485" w:rsidRDefault="00F23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0"/>
                <w:szCs w:val="10"/>
              </w:rPr>
            </w:pPr>
          </w:p>
        </w:tc>
        <w:tc>
          <w:tcPr>
            <w:tcW w:w="404" w:type="dxa"/>
          </w:tcPr>
          <w:p w:rsidR="00F23485" w:rsidRDefault="00F23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0"/>
                <w:szCs w:val="1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23485" w:rsidRDefault="00F23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0"/>
                <w:szCs w:val="10"/>
              </w:rPr>
            </w:pPr>
          </w:p>
        </w:tc>
        <w:tc>
          <w:tcPr>
            <w:tcW w:w="1077" w:type="dxa"/>
            <w:vMerge/>
            <w:tcMar>
              <w:top w:w="0" w:type="dxa"/>
              <w:left w:w="89" w:type="dxa"/>
              <w:bottom w:w="0" w:type="dxa"/>
              <w:right w:w="89" w:type="dxa"/>
            </w:tcMar>
          </w:tcPr>
          <w:p w:rsidR="00F23485" w:rsidRDefault="00F234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0"/>
                <w:szCs w:val="10"/>
              </w:rPr>
            </w:pPr>
          </w:p>
        </w:tc>
        <w:tc>
          <w:tcPr>
            <w:tcW w:w="4323" w:type="dxa"/>
            <w:vMerge/>
            <w:tcMar>
              <w:top w:w="0" w:type="dxa"/>
              <w:left w:w="89" w:type="dxa"/>
              <w:bottom w:w="0" w:type="dxa"/>
              <w:right w:w="89" w:type="dxa"/>
            </w:tcMar>
          </w:tcPr>
          <w:p w:rsidR="00F23485" w:rsidRDefault="00F234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0"/>
                <w:szCs w:val="10"/>
              </w:rPr>
            </w:pPr>
          </w:p>
        </w:tc>
      </w:tr>
      <w:tr w:rsidR="00F23485">
        <w:trPr>
          <w:cantSplit/>
          <w:trHeight w:val="256"/>
        </w:trPr>
        <w:tc>
          <w:tcPr>
            <w:tcW w:w="909" w:type="dxa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F23485" w:rsidRDefault="00B06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 №</w:t>
            </w:r>
          </w:p>
        </w:tc>
        <w:tc>
          <w:tcPr>
            <w:tcW w:w="323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F23485" w:rsidRDefault="00F23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077" w:type="dxa"/>
            <w:vMerge/>
            <w:tcMar>
              <w:top w:w="0" w:type="dxa"/>
              <w:left w:w="89" w:type="dxa"/>
              <w:bottom w:w="0" w:type="dxa"/>
              <w:right w:w="89" w:type="dxa"/>
            </w:tcMar>
          </w:tcPr>
          <w:p w:rsidR="00F23485" w:rsidRDefault="00F234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323" w:type="dxa"/>
            <w:vMerge/>
            <w:tcMar>
              <w:top w:w="0" w:type="dxa"/>
              <w:left w:w="89" w:type="dxa"/>
              <w:bottom w:w="0" w:type="dxa"/>
              <w:right w:w="89" w:type="dxa"/>
            </w:tcMar>
          </w:tcPr>
          <w:p w:rsidR="00F23485" w:rsidRDefault="00F234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F23485">
        <w:trPr>
          <w:cantSplit/>
          <w:trHeight w:val="227"/>
        </w:trPr>
        <w:tc>
          <w:tcPr>
            <w:tcW w:w="909" w:type="dxa"/>
          </w:tcPr>
          <w:p w:rsidR="00F23485" w:rsidRDefault="00F23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231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23485" w:rsidRDefault="00F23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1077" w:type="dxa"/>
            <w:vMerge/>
            <w:tcMar>
              <w:top w:w="0" w:type="dxa"/>
              <w:left w:w="89" w:type="dxa"/>
              <w:bottom w:w="0" w:type="dxa"/>
              <w:right w:w="89" w:type="dxa"/>
            </w:tcMar>
          </w:tcPr>
          <w:p w:rsidR="00F23485" w:rsidRDefault="00F234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0"/>
                <w:szCs w:val="10"/>
              </w:rPr>
            </w:pPr>
          </w:p>
        </w:tc>
        <w:tc>
          <w:tcPr>
            <w:tcW w:w="4323" w:type="dxa"/>
            <w:vMerge/>
            <w:tcMar>
              <w:top w:w="0" w:type="dxa"/>
              <w:left w:w="89" w:type="dxa"/>
              <w:bottom w:w="0" w:type="dxa"/>
              <w:right w:w="89" w:type="dxa"/>
            </w:tcMar>
          </w:tcPr>
          <w:p w:rsidR="00F23485" w:rsidRDefault="00F234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0"/>
                <w:szCs w:val="10"/>
              </w:rPr>
            </w:pPr>
          </w:p>
        </w:tc>
      </w:tr>
      <w:tr w:rsidR="00F23485">
        <w:trPr>
          <w:cantSplit/>
          <w:trHeight w:val="351"/>
        </w:trPr>
        <w:tc>
          <w:tcPr>
            <w:tcW w:w="4140" w:type="dxa"/>
            <w:gridSpan w:val="4"/>
            <w:tcMar>
              <w:top w:w="0" w:type="dxa"/>
              <w:left w:w="38" w:type="dxa"/>
              <w:bottom w:w="0" w:type="dxa"/>
              <w:right w:w="38" w:type="dxa"/>
            </w:tcMar>
          </w:tcPr>
          <w:p w:rsidR="00F23485" w:rsidRDefault="00F23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1077" w:type="dxa"/>
            <w:vMerge/>
            <w:tcMar>
              <w:top w:w="0" w:type="dxa"/>
              <w:left w:w="89" w:type="dxa"/>
              <w:bottom w:w="0" w:type="dxa"/>
              <w:right w:w="89" w:type="dxa"/>
            </w:tcMar>
          </w:tcPr>
          <w:p w:rsidR="00F23485" w:rsidRDefault="00F234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323" w:type="dxa"/>
            <w:vMerge/>
            <w:tcMar>
              <w:top w:w="0" w:type="dxa"/>
              <w:left w:w="89" w:type="dxa"/>
              <w:bottom w:w="0" w:type="dxa"/>
              <w:right w:w="89" w:type="dxa"/>
            </w:tcMar>
          </w:tcPr>
          <w:p w:rsidR="00F23485" w:rsidRDefault="00F234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</w:tbl>
    <w:p w:rsidR="00F23485" w:rsidRDefault="00F2348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6"/>
          <w:szCs w:val="26"/>
        </w:rPr>
      </w:pPr>
    </w:p>
    <w:p w:rsidR="00F23485" w:rsidRDefault="00F23485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8"/>
          <w:szCs w:val="28"/>
        </w:rPr>
      </w:pP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Уважаемый Николай Иванович!</w:t>
      </w:r>
    </w:p>
    <w:p w:rsidR="00F23485" w:rsidRDefault="00F23485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6"/>
          <w:szCs w:val="26"/>
        </w:rPr>
      </w:pP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настоящее время в Государственную Думу Федерального Собрания Российской Федерации (далее – Госдума России) 17.10.2024 внесён проект Федерального закона №743856-8 «О внесении изменений в Федеральный закон «О несостоятельности (банкротстве)», существенно о</w:t>
      </w:r>
      <w:r>
        <w:rPr>
          <w:color w:val="000000"/>
          <w:sz w:val="28"/>
          <w:szCs w:val="28"/>
        </w:rPr>
        <w:t xml:space="preserve">граничивающий права уполномоченного органа и затрагивающий интересы бюджетов всех уровней. 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Данный законопроект внесен депутатами ГД РФ С.А. Гавриловым, С.Ю. </w:t>
      </w:r>
      <w:proofErr w:type="spellStart"/>
      <w:r>
        <w:rPr>
          <w:color w:val="000000"/>
          <w:sz w:val="28"/>
          <w:szCs w:val="28"/>
        </w:rPr>
        <w:t>Теном</w:t>
      </w:r>
      <w:proofErr w:type="spellEnd"/>
      <w:r>
        <w:rPr>
          <w:color w:val="000000"/>
          <w:sz w:val="28"/>
          <w:szCs w:val="28"/>
        </w:rPr>
        <w:t xml:space="preserve">, И.К. Сухаревым, А.В. Корниенко, Н.П. Николаевым, М.А. Ивановым, Н.Н. Ивановым, А.В. </w:t>
      </w:r>
      <w:proofErr w:type="spellStart"/>
      <w:r>
        <w:rPr>
          <w:color w:val="000000"/>
          <w:sz w:val="28"/>
          <w:szCs w:val="28"/>
        </w:rPr>
        <w:t>Ильтяко</w:t>
      </w:r>
      <w:r>
        <w:rPr>
          <w:color w:val="000000"/>
          <w:sz w:val="28"/>
          <w:szCs w:val="28"/>
        </w:rPr>
        <w:t>вым</w:t>
      </w:r>
      <w:proofErr w:type="spellEnd"/>
      <w:r>
        <w:rPr>
          <w:color w:val="000000"/>
          <w:sz w:val="28"/>
          <w:szCs w:val="28"/>
        </w:rPr>
        <w:t xml:space="preserve">, В.А. Игнатовым, Г.В. Аникеевым, А.Ж. </w:t>
      </w:r>
      <w:proofErr w:type="spellStart"/>
      <w:r>
        <w:rPr>
          <w:color w:val="000000"/>
          <w:sz w:val="28"/>
          <w:szCs w:val="28"/>
        </w:rPr>
        <w:t>Бифовым</w:t>
      </w:r>
      <w:proofErr w:type="spellEnd"/>
      <w:r>
        <w:rPr>
          <w:color w:val="000000"/>
          <w:sz w:val="28"/>
          <w:szCs w:val="28"/>
        </w:rPr>
        <w:t xml:space="preserve">, А.П. </w:t>
      </w:r>
      <w:proofErr w:type="spellStart"/>
      <w:r>
        <w:rPr>
          <w:color w:val="000000"/>
          <w:sz w:val="28"/>
          <w:szCs w:val="28"/>
        </w:rPr>
        <w:t>Гимбатовым</w:t>
      </w:r>
      <w:proofErr w:type="spellEnd"/>
      <w:r>
        <w:rPr>
          <w:color w:val="000000"/>
          <w:sz w:val="28"/>
          <w:szCs w:val="28"/>
        </w:rPr>
        <w:t xml:space="preserve">, Р.Б. </w:t>
      </w:r>
      <w:proofErr w:type="spellStart"/>
      <w:r>
        <w:rPr>
          <w:color w:val="000000"/>
          <w:sz w:val="28"/>
          <w:szCs w:val="28"/>
        </w:rPr>
        <w:t>Чемерис</w:t>
      </w:r>
      <w:proofErr w:type="spellEnd"/>
      <w:r>
        <w:rPr>
          <w:color w:val="000000"/>
          <w:sz w:val="28"/>
          <w:szCs w:val="28"/>
        </w:rPr>
        <w:t xml:space="preserve"> и направлен «на регулирование вопросов очередности удовлетворения обязательных платежей в банкротстве с учётом правовых позиций Конституционного Суда Российской Федерации, изл</w:t>
      </w:r>
      <w:r>
        <w:rPr>
          <w:color w:val="000000"/>
          <w:sz w:val="28"/>
          <w:szCs w:val="28"/>
        </w:rPr>
        <w:t>оженных в постановлениях от 31 мая 2023 г. №28-П и от 9 апреля 2024 г. №16-П, а также судебной практики Верховного Суда Российской Федерации», как следует из текста пояснительной записки.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Вместе с тем на рассмотрении Госдумы уже имеется аналогичный законоп</w:t>
      </w:r>
      <w:r>
        <w:rPr>
          <w:color w:val="000000"/>
          <w:sz w:val="28"/>
          <w:szCs w:val="28"/>
        </w:rPr>
        <w:t>роект.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18.01.2024 в Государственную Думу Федерального Собрания Российской Федерации Правительством Российской Федерации уже был внесён на рассмотрение проект федерального закона №532703-8 «О внесении изменений в Федеральный закон «О несостоятельности (банкротстве</w:t>
      </w:r>
      <w:r>
        <w:rPr>
          <w:color w:val="000000"/>
          <w:sz w:val="28"/>
          <w:szCs w:val="28"/>
        </w:rPr>
        <w:t>)» (в части приоритетности удовлетворения требований об уплате налогов), имеющий тот же предмет правового регулирования (далее – Правительственный законопроект).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ФНС России полагает, что депутатский законопроект искажает заложенные в ранее внесённом по том</w:t>
      </w:r>
      <w:r>
        <w:rPr>
          <w:color w:val="000000"/>
          <w:sz w:val="28"/>
          <w:szCs w:val="28"/>
        </w:rPr>
        <w:t xml:space="preserve">у же предмету законопроекте механизмы и позицию Конституционного Суда, а внесённые в него изменения лишают </w:t>
      </w:r>
      <w:r>
        <w:rPr>
          <w:color w:val="000000"/>
          <w:sz w:val="28"/>
          <w:szCs w:val="28"/>
        </w:rPr>
        <w:lastRenderedPageBreak/>
        <w:t>некоторые из предусмотренных Правительственным законопроектом механизмов смысла.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Депутатский законопроект искажает заложенные в ранее внесённом по то</w:t>
      </w:r>
      <w:r>
        <w:rPr>
          <w:color w:val="000000"/>
          <w:sz w:val="28"/>
          <w:szCs w:val="28"/>
        </w:rPr>
        <w:t>му же предмету законопроекте механизмы и позицию Конституционного Суда.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Так, проектируемой статьёй 136.1 Закона о банкротстве в редакции Правительственного законопроекта предполагалась необходимость учета позиции, изложенной в Постановлении Конституционног</w:t>
      </w:r>
      <w:r>
        <w:rPr>
          <w:color w:val="000000"/>
          <w:sz w:val="28"/>
          <w:szCs w:val="28"/>
        </w:rPr>
        <w:t>о Суда РФ от 31.05.2023 №28-П (далее – Постановление №28-П) о том, что «</w:t>
      </w:r>
      <w:r>
        <w:rPr>
          <w:i/>
          <w:color w:val="000000"/>
          <w:sz w:val="28"/>
          <w:szCs w:val="28"/>
        </w:rPr>
        <w:t>при таком подходе (отнесении налога на прибыль от продажи имущества к текущим требованиям – прим.) не учитывается, что, определяя в пункте 4 статьи 134 Федерального закона "О несостоят</w:t>
      </w:r>
      <w:r>
        <w:rPr>
          <w:i/>
          <w:color w:val="000000"/>
          <w:sz w:val="28"/>
          <w:szCs w:val="28"/>
        </w:rPr>
        <w:t>ельности (банкротстве)" очередность удовлетворения требований кредиторов, включенных в реестр, законодатель отдает приоритет отдельным требованиям, обладающим большей общественной значимостью. Так, в первую очередь производятся расчеты по требованиям гражд</w:t>
      </w:r>
      <w:r>
        <w:rPr>
          <w:i/>
          <w:color w:val="000000"/>
          <w:sz w:val="28"/>
          <w:szCs w:val="28"/>
        </w:rPr>
        <w:t>ан, перед которыми должник несет ответственность за причинение вреда жизни или здоровью, путем капитализации соответствующих повременных платежей, а равно и расчеты по иным установленным Законом о банкротстве требованиям. Во вторую очередь производятся рас</w:t>
      </w:r>
      <w:r>
        <w:rPr>
          <w:i/>
          <w:color w:val="000000"/>
          <w:sz w:val="28"/>
          <w:szCs w:val="28"/>
        </w:rPr>
        <w:t xml:space="preserve">четы по выплате выходных пособий и (или) оплате труда лиц, работающих или работавших по трудовому договору, по выплате вознаграждений авторам результатов интеллектуальной деятельности. И лишь после них - иные требования кредиторов, в том числе требования, </w:t>
      </w:r>
      <w:r>
        <w:rPr>
          <w:i/>
          <w:color w:val="000000"/>
          <w:sz w:val="28"/>
          <w:szCs w:val="28"/>
        </w:rPr>
        <w:t>связанные с уплатой обязательных платежей, возникших до даты принятия заявления о признании должника банкротом. С учетом изложенного и того, что средства от реализации имущества банкрота могут представлять существенный, если не единственный, источник удовл</w:t>
      </w:r>
      <w:r>
        <w:rPr>
          <w:i/>
          <w:color w:val="000000"/>
          <w:sz w:val="28"/>
          <w:szCs w:val="28"/>
        </w:rPr>
        <w:t>етворения требований кредиторов, взимание обязательных платежей в связи с такой реализацией не должно препятствовать удовлетворению требований кредиторов первой и второй очереди, которым законодатель отдал приоритет перед требованиями об уплате обязательны</w:t>
      </w:r>
      <w:r>
        <w:rPr>
          <w:i/>
          <w:color w:val="000000"/>
          <w:sz w:val="28"/>
          <w:szCs w:val="28"/>
        </w:rPr>
        <w:t>х платежей, включенными в реестр, что не обеспечивается при отнесении налога на прибыль от реализации имущества от конкурсной массы к пятой очереди текущих платежей</w:t>
      </w:r>
      <w:r>
        <w:rPr>
          <w:color w:val="000000"/>
          <w:sz w:val="28"/>
          <w:szCs w:val="28"/>
        </w:rPr>
        <w:t>».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этих целей были разработаны положения о том, что требования по налогу на прибыль от р</w:t>
      </w:r>
      <w:r>
        <w:rPr>
          <w:color w:val="000000"/>
          <w:sz w:val="28"/>
          <w:szCs w:val="28"/>
        </w:rPr>
        <w:t xml:space="preserve">еализации конкурсной массы не могут удовлетворяться приоритетно </w:t>
      </w:r>
      <w:proofErr w:type="gramStart"/>
      <w:r>
        <w:rPr>
          <w:color w:val="000000"/>
          <w:sz w:val="28"/>
          <w:szCs w:val="28"/>
        </w:rPr>
        <w:t>перед требованиям</w:t>
      </w:r>
      <w:proofErr w:type="gramEnd"/>
      <w:r>
        <w:rPr>
          <w:color w:val="000000"/>
          <w:sz w:val="28"/>
          <w:szCs w:val="28"/>
        </w:rPr>
        <w:t xml:space="preserve"> кредиторов первой и второй очереди, включенным в реестр требований кредиторов.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Депутатский законопроект одновременно как понижает текущие требования по налогу на прибыль и во</w:t>
      </w:r>
      <w:r>
        <w:rPr>
          <w:color w:val="000000"/>
          <w:sz w:val="28"/>
          <w:szCs w:val="28"/>
        </w:rPr>
        <w:t>сстановленному НДС в связи с реализацией конкурсной массы до третьей очереди реестровых требований, так и видоизменяет положения Правительственного законопроекта, закрепляя недопустимость удовлетворения требований по всем остальным текущим обязательным пла</w:t>
      </w:r>
      <w:r>
        <w:rPr>
          <w:color w:val="000000"/>
          <w:sz w:val="28"/>
          <w:szCs w:val="28"/>
        </w:rPr>
        <w:t>тежам приоритетно перед требованиям кредиторов первой и второй очереди, включенным в реестр требований кредиторов, что не соответствует смыслу Постановления №28-П.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этом в пояснительной записке указывается, что «при подготовке законопроекта учтены право</w:t>
      </w:r>
      <w:r>
        <w:rPr>
          <w:color w:val="000000"/>
          <w:sz w:val="28"/>
          <w:szCs w:val="28"/>
        </w:rPr>
        <w:t xml:space="preserve">вые позиции Конституционного Суда Российской Федерации, изложенные в постановлениях от 31 мая 2023 г. N 28-П и от 9 апреля 2024 г. №16-П, и признанные им соответствующими принципу справедливости </w:t>
      </w:r>
      <w:r>
        <w:rPr>
          <w:color w:val="000000"/>
          <w:sz w:val="28"/>
          <w:szCs w:val="28"/>
        </w:rPr>
        <w:lastRenderedPageBreak/>
        <w:t>регуляторные подходы, а также судебная практика Верховного Су</w:t>
      </w:r>
      <w:r>
        <w:rPr>
          <w:color w:val="000000"/>
          <w:sz w:val="28"/>
          <w:szCs w:val="28"/>
        </w:rPr>
        <w:t>да Российской Федерации», что не соответствует действительности.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Постановлении №28-П указано, что «</w:t>
      </w:r>
      <w:r>
        <w:rPr>
          <w:i/>
          <w:color w:val="000000"/>
          <w:sz w:val="28"/>
          <w:szCs w:val="28"/>
        </w:rPr>
        <w:t>определение очередности удовлетворения требований об уплате налога на прибыль организаций в связи с реализацией имущества банкрота относится к дискреции фе</w:t>
      </w:r>
      <w:r>
        <w:rPr>
          <w:i/>
          <w:color w:val="000000"/>
          <w:sz w:val="28"/>
          <w:szCs w:val="28"/>
        </w:rPr>
        <w:t>дерального законодателя, который, исходя из необходимости соблюдения баланса частных и публичных интересов и с учетом необходимости соблюдения конституционных принципов регулирования частных и публичных правоотношений, вправе реализовывать ту или иную госу</w:t>
      </w:r>
      <w:r>
        <w:rPr>
          <w:i/>
          <w:color w:val="000000"/>
          <w:sz w:val="28"/>
          <w:szCs w:val="28"/>
        </w:rPr>
        <w:t>дарственную политику в сфере банкротства организаций при обязательном учете экономической и социальной значимости отдельных видов и очередей кредиторов, которым Федеральный закон "О несостоятельности (банкротстве)" в силу конституционно обусловленных основ</w:t>
      </w:r>
      <w:r>
        <w:rPr>
          <w:i/>
          <w:color w:val="000000"/>
          <w:sz w:val="28"/>
          <w:szCs w:val="28"/>
        </w:rPr>
        <w:t>аний отдает приоритет</w:t>
      </w:r>
      <w:r>
        <w:rPr>
          <w:color w:val="000000"/>
          <w:sz w:val="28"/>
          <w:szCs w:val="28"/>
        </w:rPr>
        <w:t>».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Таким образом, Конституционный Суд дважды подчеркнул, что возможность отнесения налога на прибыль от продажи имущества может быть закреплена законодательно при условии учёта интересов прав кредиторов первой и второй очереди.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то же</w:t>
      </w:r>
      <w:r>
        <w:rPr>
          <w:color w:val="000000"/>
          <w:sz w:val="28"/>
          <w:szCs w:val="28"/>
        </w:rPr>
        <w:t xml:space="preserve"> время Депутатский законопроект немотивированно и ультимативно относит налог на прибыль от продажи имущества, составляющего конкурсную массу, к третьей очереди реестровых требований, одновременно также понижая очередность иных текущих налогов, имеющих иную</w:t>
      </w:r>
      <w:r>
        <w:rPr>
          <w:color w:val="000000"/>
          <w:sz w:val="28"/>
          <w:szCs w:val="28"/>
        </w:rPr>
        <w:t xml:space="preserve"> правовую природу и связанных с продолжением хозяйственной деятельности, а не направленных на завершение процедуры банкротства – о недопустимости узаконивания подобного подхода высказывался Верховный Суд в своём запросе в Конституционный Суд, который впосл</w:t>
      </w:r>
      <w:r>
        <w:rPr>
          <w:color w:val="000000"/>
          <w:sz w:val="28"/>
          <w:szCs w:val="28"/>
        </w:rPr>
        <w:t>едствии явился основанием принятия Постановления №28-П.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Налоги от продолжения хозяйственной деятельности являются составной частью расходов в цене создаваемых в процедуре банкротства товаров, выполняемых работ, оказываемых услуг. Понижение очередности их у</w:t>
      </w:r>
      <w:r>
        <w:rPr>
          <w:color w:val="000000"/>
          <w:sz w:val="28"/>
          <w:szCs w:val="28"/>
        </w:rPr>
        <w:t>довлетворения создаёт необоснованные преимущества хозяйствующим субъектам, находящимся в процедуре банкротства, стимулируя использование института банкротства как способ уклонения от уплаты налогов, что не может быть признано обоснованным.</w:t>
      </w:r>
    </w:p>
    <w:p w:rsidR="00F23485" w:rsidRDefault="00F2348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color w:val="000000"/>
          <w:sz w:val="28"/>
          <w:szCs w:val="28"/>
        </w:rPr>
      </w:pP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Депутатском законопроекте искажается также и смысл Постановления Конституционного Суда Российской Федерации от 09.04.2024 №16-П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Так, Депутатским законопроектом предусматривается положение о том, что «</w:t>
      </w:r>
      <w:r>
        <w:rPr>
          <w:i/>
          <w:color w:val="000000"/>
          <w:sz w:val="28"/>
          <w:szCs w:val="28"/>
        </w:rPr>
        <w:t xml:space="preserve">залогодержатель вправе обратиться в арбитражный суд в </w:t>
      </w:r>
      <w:r>
        <w:rPr>
          <w:i/>
          <w:color w:val="000000"/>
          <w:sz w:val="28"/>
          <w:szCs w:val="28"/>
        </w:rPr>
        <w:t>рамках дела о банкротстве с ходатайством о соразмерном распределении денежных средств от реализации предмета залога между требованиями об уплате имущественных налогов и требованиями залогового кредитора, если удовлетворение требований об уплате имущественн</w:t>
      </w:r>
      <w:r>
        <w:rPr>
          <w:i/>
          <w:color w:val="000000"/>
          <w:sz w:val="28"/>
          <w:szCs w:val="28"/>
        </w:rPr>
        <w:t xml:space="preserve">ых налогов до начала расчетов с залоговым кредитором в обстоятельствах конкретного дела фактически приводит к утрате для залогового кредитора экономического смысла залога и при этом не установлено, что именно поведение залогового кредитора создало условия </w:t>
      </w:r>
      <w:r>
        <w:rPr>
          <w:i/>
          <w:color w:val="000000"/>
          <w:sz w:val="28"/>
          <w:szCs w:val="28"/>
        </w:rPr>
        <w:t xml:space="preserve">для формирования такого объема налоговой задолженности, который порождает соответствующие негативные последствия. Такая утрата предполагается, если после уплаты имущественных </w:t>
      </w:r>
      <w:r>
        <w:rPr>
          <w:i/>
          <w:color w:val="000000"/>
          <w:sz w:val="28"/>
          <w:szCs w:val="28"/>
        </w:rPr>
        <w:lastRenderedPageBreak/>
        <w:t>налогов залоговому кредитору причитается менее одной четверти средств от реализац</w:t>
      </w:r>
      <w:r>
        <w:rPr>
          <w:i/>
          <w:color w:val="000000"/>
          <w:sz w:val="28"/>
          <w:szCs w:val="28"/>
        </w:rPr>
        <w:t>ии предмета залога</w:t>
      </w:r>
      <w:r>
        <w:rPr>
          <w:color w:val="000000"/>
          <w:sz w:val="28"/>
          <w:szCs w:val="28"/>
        </w:rPr>
        <w:t>».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то же время, постановление №16-П содержит существенное ограничение данной возможности: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«</w:t>
      </w:r>
      <w:r>
        <w:rPr>
          <w:i/>
          <w:color w:val="000000"/>
          <w:sz w:val="28"/>
          <w:szCs w:val="28"/>
        </w:rPr>
        <w:t xml:space="preserve">с учетом в том числе того, насколько повлияет </w:t>
      </w:r>
      <w:proofErr w:type="spellStart"/>
      <w:r>
        <w:rPr>
          <w:i/>
          <w:color w:val="000000"/>
          <w:sz w:val="28"/>
          <w:szCs w:val="28"/>
        </w:rPr>
        <w:t>непоступление</w:t>
      </w:r>
      <w:proofErr w:type="spellEnd"/>
      <w:r>
        <w:rPr>
          <w:i/>
          <w:color w:val="000000"/>
          <w:sz w:val="28"/>
          <w:szCs w:val="28"/>
        </w:rPr>
        <w:t xml:space="preserve"> соответствующих сумм в региональный и местный бюджеты на выполнение социальных обяз</w:t>
      </w:r>
      <w:r>
        <w:rPr>
          <w:i/>
          <w:color w:val="000000"/>
          <w:sz w:val="28"/>
          <w:szCs w:val="28"/>
        </w:rPr>
        <w:t>ательств соответствующих публичных образований</w:t>
      </w:r>
      <w:r>
        <w:rPr>
          <w:color w:val="000000"/>
          <w:sz w:val="28"/>
          <w:szCs w:val="28"/>
        </w:rPr>
        <w:t>»;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«</w:t>
      </w:r>
      <w:r>
        <w:rPr>
          <w:i/>
          <w:color w:val="000000"/>
          <w:sz w:val="28"/>
          <w:szCs w:val="28"/>
        </w:rPr>
        <w:t>формой соразмерного распределения судом средств, полученных от использования или реализации предмета залога, между требованиями об уплате имущественных налогов и пеней за их несвоевременную уплату и требо</w:t>
      </w:r>
      <w:r>
        <w:rPr>
          <w:i/>
          <w:color w:val="000000"/>
          <w:sz w:val="28"/>
          <w:szCs w:val="28"/>
        </w:rPr>
        <w:t>ваниями залогового кредитора в случаях, когда удовлетворение требований об уплате имущественных налогов и пеней до расчетов с залоговым кредитором в обстоятельствах конкретного дела фактически ведет к утрате для залогового кредитора экономического смысла з</w:t>
      </w:r>
      <w:r>
        <w:rPr>
          <w:i/>
          <w:color w:val="000000"/>
          <w:sz w:val="28"/>
          <w:szCs w:val="28"/>
        </w:rPr>
        <w:t xml:space="preserve">алога и при этом не установлено, что именно его поведение создало условия для формирования такого объема налоговой задолженности, который порождает соответствующие негативные последствия, может быть </w:t>
      </w:r>
      <w:proofErr w:type="spellStart"/>
      <w:r>
        <w:rPr>
          <w:i/>
          <w:color w:val="000000"/>
          <w:sz w:val="28"/>
          <w:szCs w:val="28"/>
        </w:rPr>
        <w:t>невключение</w:t>
      </w:r>
      <w:proofErr w:type="spellEnd"/>
      <w:r>
        <w:rPr>
          <w:i/>
          <w:color w:val="000000"/>
          <w:sz w:val="28"/>
          <w:szCs w:val="28"/>
        </w:rPr>
        <w:t xml:space="preserve"> в состав указанных требований, предъявляемых </w:t>
      </w:r>
      <w:r>
        <w:rPr>
          <w:i/>
          <w:color w:val="000000"/>
          <w:sz w:val="28"/>
          <w:szCs w:val="28"/>
        </w:rPr>
        <w:t>и удовлетворяемых до расчета с залоговым кредитором, соответствующих пеней</w:t>
      </w:r>
      <w:r>
        <w:rPr>
          <w:color w:val="000000"/>
          <w:sz w:val="28"/>
          <w:szCs w:val="28"/>
        </w:rPr>
        <w:t>».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Данные существенные ограничительные условия возможности распределения судом средств, полученных от использования или реализации предмета залога, между требованиями об уплате имущественных налогов и требованиями залогового кредитора, не учтены в Депутатском</w:t>
      </w:r>
      <w:r>
        <w:rPr>
          <w:color w:val="000000"/>
          <w:sz w:val="28"/>
          <w:szCs w:val="28"/>
        </w:rPr>
        <w:t xml:space="preserve"> законопроекте.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Кроме того, подход об очередности уплаты имущественных налогов, изложенный в Постановлении №16-П ограничен процедурой конкурсного производства в отсутствие на то обоснования. При этом неопределенной остаётся очередность уплаты имущественных</w:t>
      </w:r>
      <w:r>
        <w:rPr>
          <w:color w:val="000000"/>
          <w:sz w:val="28"/>
          <w:szCs w:val="28"/>
        </w:rPr>
        <w:t xml:space="preserve"> налогов в процедуре внешнего управления.</w:t>
      </w:r>
    </w:p>
    <w:p w:rsidR="00F23485" w:rsidRDefault="00F2348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color w:val="000000"/>
          <w:sz w:val="28"/>
          <w:szCs w:val="28"/>
        </w:rPr>
      </w:pP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Депутатский законопроект вопреки действующему законодательству разделяет страховые взносы на отдельные виды, придавая им различный правовой режим.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изменением законодательства – вступлением в силу Федерал</w:t>
      </w:r>
      <w:r>
        <w:rPr>
          <w:color w:val="000000"/>
          <w:sz w:val="28"/>
          <w:szCs w:val="28"/>
        </w:rPr>
        <w:t>ьного закона от 14.07.2022 №236-ФЗ «О Фонде пенсионного и социального страхования Российской Федерации» (далее – Федеральный закон №236-ФЗ) и Федерального закона от 14.07.2022 №239-ФЗ «О внесении изменений в части первую и вторую Налогового Кодекса Российс</w:t>
      </w:r>
      <w:r>
        <w:rPr>
          <w:color w:val="000000"/>
          <w:sz w:val="28"/>
          <w:szCs w:val="28"/>
        </w:rPr>
        <w:t>кой Федерации и статьи 18 и 19 Федерального закона «О проведении эксперимента по установлению специального налогового режима «автоматизированная упрощенная система налогообложения» (Далее – Федеральный закон №239-ФЗ) установлен единый тарифов страховых взн</w:t>
      </w:r>
      <w:r>
        <w:rPr>
          <w:color w:val="000000"/>
          <w:sz w:val="28"/>
          <w:szCs w:val="28"/>
        </w:rPr>
        <w:t>осов на обязательное пенсионное страхование, на обязательное медицинское страхование, на обязательное социальное страхование на случай временной нетрудоспособности, единый кода бюджетной классификации для указанных платежей.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236-ФЗ создан </w:t>
      </w:r>
      <w:r>
        <w:rPr>
          <w:color w:val="000000"/>
          <w:sz w:val="28"/>
          <w:szCs w:val="28"/>
        </w:rPr>
        <w:t xml:space="preserve">Фонд пенсионного и социального страхования Российской Федерации при Правительстве Российской Федерации в организационно-правовой форме государственного внебюджетного фонда, являющегося типом государственного учреждения (Социальный фонд России, далее также </w:t>
      </w:r>
      <w:r>
        <w:rPr>
          <w:color w:val="000000"/>
          <w:sz w:val="28"/>
          <w:szCs w:val="28"/>
        </w:rPr>
        <w:t>- Фонд).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Фонд осуществляет, среди прочего, назначение и выплату пенсий по обязательному пенсионному страхованию и государственному пенсионному обеспечению; предоставление иных видов обеспечения, устанавливаемых дополнительно к страховым пенсиям и пенсиям п</w:t>
      </w:r>
      <w:r>
        <w:rPr>
          <w:color w:val="000000"/>
          <w:sz w:val="28"/>
          <w:szCs w:val="28"/>
        </w:rPr>
        <w:t>о государственному пенсионному обеспечению, а также иных выплат и компенсаций в соответствии с законодательством Российской Федерации; назначение и выплату государственных пособий, обеспечения по обязательному социальному страхованию, иных видов обеспечени</w:t>
      </w:r>
      <w:r>
        <w:rPr>
          <w:color w:val="000000"/>
          <w:sz w:val="28"/>
          <w:szCs w:val="28"/>
        </w:rPr>
        <w:t>я, установленных федеральными законами о конкретных видах обязательного социального страхования; организацию и ведение индивидуального (персонифицированного) учета в системах обязательного пенсионного страхования и обязательного социального страхования.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соответствии с Федеральным законом №239-ФЗ внесены изменения в часть вторую Налогового кодекса Российской Федерации (далее – НК РФ), в соответствии с которыми, начиная с 2023 года устанавливаются тарифы страховых взносов на обязательное пенсионное страхова</w:t>
      </w:r>
      <w:r>
        <w:rPr>
          <w:color w:val="000000"/>
          <w:sz w:val="28"/>
          <w:szCs w:val="28"/>
        </w:rPr>
        <w:t>ние, на обязательное социальное страхование на случай временной нетрудоспособности и в связи с материнством, на обязательное медицинское страхование в следующих единых размерах (единый тариф страховых взносов), если иное не предусмотрено главой 34 НК РФ: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) в пределах установленной единой предельной величины базы для исчисления страховых взносов - 30 процентов;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свыше установленной единой предельной величины базы для исчисления страховых взносов - 15,1 процента.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Единство правовой природы страховых взносов</w:t>
      </w:r>
      <w:r>
        <w:rPr>
          <w:color w:val="000000"/>
          <w:sz w:val="28"/>
          <w:szCs w:val="28"/>
        </w:rPr>
        <w:t xml:space="preserve"> подтверждаются научными заключениями профессора кафедры предпринимательского права юридического факультета Московского государственного университета имени М.В. Ломоносова, доктора юридических наук, профессора Карелиной Светланы Александровны, а также доце</w:t>
      </w:r>
      <w:r>
        <w:rPr>
          <w:color w:val="000000"/>
          <w:sz w:val="28"/>
          <w:szCs w:val="28"/>
        </w:rPr>
        <w:t>нта кафедры налогов и налогового администрирования Финансового университета при Правительстве Российской Федерации, кандидата экономических наук, доцента Тихоновой Анны Витальевны (прилагается).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правовой природы страховых взносов была дана: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Пост</w:t>
      </w:r>
      <w:r>
        <w:rPr>
          <w:color w:val="000000"/>
          <w:sz w:val="28"/>
          <w:szCs w:val="28"/>
        </w:rPr>
        <w:t>ановлении Конституционного Суда Российской Федерации от 24.02.1998 №7-П, в котором отмечается, что «страховые взносы - это обязательная составная часть расходов по найму рабочей силы»;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Постановлении Конституционного Суда Российской Федерации от 10.07.2</w:t>
      </w:r>
      <w:r>
        <w:rPr>
          <w:color w:val="000000"/>
          <w:sz w:val="28"/>
          <w:szCs w:val="28"/>
        </w:rPr>
        <w:t>007 №9-П, в котором указывается на недопустимость безосновательного лишения граждан социально-значимых выплат, которые осуществляет за них страхователь (работодатель), поскольку таким «нарушаются гарантируемые статьей 39 (части 1 и 2) Конституции Российско</w:t>
      </w:r>
      <w:r>
        <w:rPr>
          <w:color w:val="000000"/>
          <w:sz w:val="28"/>
          <w:szCs w:val="28"/>
        </w:rPr>
        <w:t>й Федерации пенсионные права».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Указанная норма Конституции Российской Федерации гласит о том, что каждому гарантируется социальное обеспечение по возрасту, в случае болезни, инвалидности, потери кормильца, для воспитания детей и в иных случаях, установленн</w:t>
      </w:r>
      <w:r>
        <w:rPr>
          <w:color w:val="000000"/>
          <w:sz w:val="28"/>
          <w:szCs w:val="28"/>
        </w:rPr>
        <w:t>ых законом.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Это свидетельствует об обоснованности распространения режима расходов по найму рабочей силы на все виды обязательных страховых взносов.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Дальнейшее развитие данные правовые позиции (с прямой отсылкой к указанным постановлениям от 24 февраля 1998</w:t>
      </w:r>
      <w:r>
        <w:rPr>
          <w:color w:val="000000"/>
          <w:sz w:val="28"/>
          <w:szCs w:val="28"/>
        </w:rPr>
        <w:t xml:space="preserve"> года №7-П и от 10 июля 2007 </w:t>
      </w:r>
      <w:r>
        <w:rPr>
          <w:color w:val="000000"/>
          <w:sz w:val="28"/>
          <w:szCs w:val="28"/>
        </w:rPr>
        <w:lastRenderedPageBreak/>
        <w:t>года №9-П) получили в Информации Конституционного Суда Российской Федерации «Актуальные конституционно-правовые аспекты обеспечения экономической, политической и социальной солидарности: к 30-летию Конституции Российской Федера</w:t>
      </w:r>
      <w:r>
        <w:rPr>
          <w:color w:val="000000"/>
          <w:sz w:val="28"/>
          <w:szCs w:val="28"/>
        </w:rPr>
        <w:t>ции (на основе решений Конституционного Суда Российской Федерации 2020 - 2023 годов)» (одобрено решением Конституционного Суда Российской Федерации от 14.11.2023).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ней Конституционный Суд раскрывает содержание конституционно закреплённого в 2020 году при</w:t>
      </w:r>
      <w:r>
        <w:rPr>
          <w:color w:val="000000"/>
          <w:sz w:val="28"/>
          <w:szCs w:val="28"/>
        </w:rPr>
        <w:t>нципа экономической, политической и социальной солидарности как одного из базовых принципов построения российской государственности.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Применительно к принципу социальной солидарности Конституционный Суд отмечает, что праву на получение мер социальной защиты</w:t>
      </w:r>
      <w:r>
        <w:rPr>
          <w:color w:val="000000"/>
          <w:sz w:val="28"/>
          <w:szCs w:val="28"/>
        </w:rPr>
        <w:t xml:space="preserve"> корреспондирует обязанность сформировать в необходимом объеме публичные финансовые ресурсы, за счет которых данные меры будут предоставляться, подчёркивается связь идеи помощи нуждающимся с многовековыми традициями народа России и законодательное совершен</w:t>
      </w:r>
      <w:r>
        <w:rPr>
          <w:color w:val="000000"/>
          <w:sz w:val="28"/>
          <w:szCs w:val="28"/>
        </w:rPr>
        <w:t>ствование системы социальной защиты, которое углубляет и расширяет проявления социальной солидарности.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Указывается, что достижению баланса публичных и частных интересов и целей социальной солидарности (основной из которых является предоставление помощи нуж</w:t>
      </w:r>
      <w:r>
        <w:rPr>
          <w:color w:val="000000"/>
          <w:sz w:val="28"/>
          <w:szCs w:val="28"/>
        </w:rPr>
        <w:t>дающимся) способствует, среди прочего, такое конституционно предусмотренное средство их достижения, как уплата обязательных платежей.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Информации Конституционного Суда Российской Федерации раскрывается принцип экономической солидарности применительно к оп</w:t>
      </w:r>
      <w:r>
        <w:rPr>
          <w:color w:val="000000"/>
          <w:sz w:val="28"/>
          <w:szCs w:val="28"/>
        </w:rPr>
        <w:t>ределению баланса публичных и частных интересов в сфере банкротства, критериев допустимости вмешательства в имущественную сферу одних кредиторов в пользу других в условиях недостаточности конкурсной массы для погашения всех требований.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Указывая на необходи</w:t>
      </w:r>
      <w:r>
        <w:rPr>
          <w:color w:val="000000"/>
          <w:sz w:val="28"/>
          <w:szCs w:val="28"/>
        </w:rPr>
        <w:t>мость учёта степени значимости охраняемых законом ценностей, Конституционный Суд ссылается на постановление от 1 февраля 2022 года № 4-П, в котором были признаны относящимися к погашаемым сверх очереди расходы за счёт средств должника-банкрота на предотвра</w:t>
      </w:r>
      <w:r>
        <w:rPr>
          <w:color w:val="000000"/>
          <w:sz w:val="28"/>
          <w:szCs w:val="28"/>
        </w:rPr>
        <w:t>щение экологических и техногенных катастроф, гибели людей.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этом Конституционный Суд отмечает, что «</w:t>
      </w:r>
      <w:r>
        <w:rPr>
          <w:i/>
          <w:color w:val="000000"/>
          <w:sz w:val="28"/>
          <w:szCs w:val="28"/>
        </w:rPr>
        <w:t>проявляя себя в экономической сфере, принцип солидарности, помимо прочего, повышает защищенность таких конституционно признанных благ, как жизнь и здоров</w:t>
      </w:r>
      <w:r>
        <w:rPr>
          <w:i/>
          <w:color w:val="000000"/>
          <w:sz w:val="28"/>
          <w:szCs w:val="28"/>
        </w:rPr>
        <w:t>ье человека</w:t>
      </w:r>
      <w:r>
        <w:rPr>
          <w:color w:val="000000"/>
          <w:sz w:val="28"/>
          <w:szCs w:val="28"/>
        </w:rPr>
        <w:t>», в связи с чем установление соответствующих платежей преследует «</w:t>
      </w:r>
      <w:r>
        <w:rPr>
          <w:i/>
          <w:color w:val="000000"/>
          <w:sz w:val="28"/>
          <w:szCs w:val="28"/>
        </w:rPr>
        <w:t>не столько фискальный интерес государства в наполнении казны, сколько общий интерес</w:t>
      </w:r>
      <w:r>
        <w:rPr>
          <w:color w:val="000000"/>
          <w:sz w:val="28"/>
          <w:szCs w:val="28"/>
        </w:rPr>
        <w:t>» (в защите соответствующей конституционной ценности). «</w:t>
      </w:r>
      <w:r>
        <w:rPr>
          <w:i/>
          <w:color w:val="000000"/>
          <w:sz w:val="28"/>
          <w:szCs w:val="28"/>
        </w:rPr>
        <w:t>При этом экономическая солидарность не достигает конституционно определенных целей при несоразмерном переложении на одних частных лиц бремени экономических обязательств других частных лиц</w:t>
      </w:r>
      <w:r>
        <w:rPr>
          <w:color w:val="000000"/>
          <w:sz w:val="28"/>
          <w:szCs w:val="28"/>
        </w:rPr>
        <w:t>».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i/>
          <w:color w:val="000000"/>
          <w:sz w:val="28"/>
          <w:szCs w:val="28"/>
        </w:rPr>
        <w:t>В социальном и правовом государстве, каким является Российская Федерация, осуществление предпринимательской и иной экономической деятельности неотъемлемо от социальной ответственности работодателей, являющейся одним из выражений начала солидарности и предп</w:t>
      </w:r>
      <w:r>
        <w:rPr>
          <w:i/>
          <w:color w:val="000000"/>
          <w:sz w:val="28"/>
          <w:szCs w:val="28"/>
        </w:rPr>
        <w:t>олагающей возложение на работодателя в пользу работников определенных социально значимых и не умаляющих его конституционные права обременений</w:t>
      </w:r>
      <w:r>
        <w:rPr>
          <w:color w:val="000000"/>
          <w:sz w:val="28"/>
          <w:szCs w:val="28"/>
        </w:rPr>
        <w:t>».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Таким образом, Конституционный Суд указывает, что в случае с обязательными платежами, осуществляемыми в определё</w:t>
      </w:r>
      <w:r>
        <w:rPr>
          <w:color w:val="000000"/>
          <w:sz w:val="28"/>
          <w:szCs w:val="28"/>
        </w:rPr>
        <w:t>нных общественно-</w:t>
      </w:r>
      <w:r>
        <w:rPr>
          <w:color w:val="000000"/>
          <w:sz w:val="28"/>
          <w:szCs w:val="28"/>
        </w:rPr>
        <w:lastRenderedPageBreak/>
        <w:t>значимых целях, государство фактически выступает не в качестве выгодоприобретателя данных средств, а в качестве администратора их поступления, в то время как их расходование осуществляется в соответствии с целевым назначением – на соответс</w:t>
      </w:r>
      <w:r>
        <w:rPr>
          <w:color w:val="000000"/>
          <w:sz w:val="28"/>
          <w:szCs w:val="28"/>
        </w:rPr>
        <w:t>твующие особо охраняемые отношения.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Следует отметить, что Конституционный Суд к способам реализации конституционного принципа социальной солидарности относит перераспределение социальных благ между членами общества от работающих - к безработным, от здоровы</w:t>
      </w:r>
      <w:r>
        <w:rPr>
          <w:color w:val="000000"/>
          <w:sz w:val="28"/>
          <w:szCs w:val="28"/>
        </w:rPr>
        <w:t>х - к больным, что «</w:t>
      </w:r>
      <w:r>
        <w:rPr>
          <w:i/>
          <w:color w:val="000000"/>
          <w:sz w:val="28"/>
          <w:szCs w:val="28"/>
        </w:rPr>
        <w:t xml:space="preserve">одновременно предполагает соответствующее распределение обязанностей по уплате налогов и страховых взносов на обязательное социальное страхование (постановления от 24 февраля 1998 года №7-П, от 22 марта 2007 года №4-П, от 9 апреля 2021 </w:t>
      </w:r>
      <w:r>
        <w:rPr>
          <w:i/>
          <w:color w:val="000000"/>
          <w:sz w:val="28"/>
          <w:szCs w:val="28"/>
        </w:rPr>
        <w:t>года №12-П, от 4 октября 2022 года №40-П, от 21 декабря 2022 года №56-П)</w:t>
      </w:r>
      <w:r>
        <w:rPr>
          <w:color w:val="000000"/>
          <w:sz w:val="28"/>
          <w:szCs w:val="28"/>
        </w:rPr>
        <w:t>».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Таким образом, по мнению Управления, путём указания таких социальных гарантий как пенсионные выплаты, выплаты в связи с временной нетрудоспособностью и медицинское обеспечение, подч</w:t>
      </w:r>
      <w:r>
        <w:rPr>
          <w:color w:val="000000"/>
          <w:sz w:val="28"/>
          <w:szCs w:val="28"/>
        </w:rPr>
        <w:t>ёркивается единство природы страховых взносов и корреспондирующая им обязанность плательщиков страховых взносов по исполнению обязанности по уплате обязательных платежей, непосредственно связанных с реализацией данных гарантий, а указание на законодательно</w:t>
      </w:r>
      <w:r>
        <w:rPr>
          <w:color w:val="000000"/>
          <w:sz w:val="28"/>
          <w:szCs w:val="28"/>
        </w:rPr>
        <w:t>е совершенствование системы социальной защиты отражает, в том числе, изменения, внесённые Федеральными законами №236-ФЗ и №239-ФЗ.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этом, особо подчёркивается Конституционным Судом также недопустимость «</w:t>
      </w:r>
      <w:r>
        <w:rPr>
          <w:i/>
          <w:color w:val="000000"/>
          <w:sz w:val="28"/>
          <w:szCs w:val="28"/>
        </w:rPr>
        <w:t>переложения бремени участия в образовании соответс</w:t>
      </w:r>
      <w:r>
        <w:rPr>
          <w:i/>
          <w:color w:val="000000"/>
          <w:sz w:val="28"/>
          <w:szCs w:val="28"/>
        </w:rPr>
        <w:t>твующих фондов на иные категории граждан, что противоречило бы конституционным принципам справедливости и недопустимости осуществления прав и свобод путем нарушения прав и свобод других лиц (Постановление от 23 декабря 1999 года №18-П, определения от 26 ап</w:t>
      </w:r>
      <w:r>
        <w:rPr>
          <w:i/>
          <w:color w:val="000000"/>
          <w:sz w:val="28"/>
          <w:szCs w:val="28"/>
        </w:rPr>
        <w:t>реля 2021 года №792-О, от 27 октября 2022 года №2716-О)</w:t>
      </w:r>
      <w:r>
        <w:rPr>
          <w:color w:val="000000"/>
          <w:sz w:val="28"/>
          <w:szCs w:val="28"/>
        </w:rPr>
        <w:t>», что, по мнению ФНС России, свидетельствует также о недопустимости переложения страховой нагрузки с ликвидируемых организаций (банкротов) на действующие, а в конечном экономическом итоге – с кредитор</w:t>
      </w:r>
      <w:r>
        <w:rPr>
          <w:color w:val="000000"/>
          <w:sz w:val="28"/>
          <w:szCs w:val="28"/>
        </w:rPr>
        <w:t>ов лиц, признанных банкротами (являющимися по большей части субъектами предпринимательской деятельности), на работающих граждан.</w:t>
      </w:r>
    </w:p>
    <w:p w:rsidR="00F23485" w:rsidRDefault="00F2348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Вывод и последствия принятия законопроекта.</w:t>
      </w:r>
    </w:p>
    <w:p w:rsidR="00F23485" w:rsidRDefault="00B06A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Налоги от продажи имущества в процедурах банкротства с текущих понижаются до треть</w:t>
      </w:r>
      <w:r>
        <w:rPr>
          <w:b/>
          <w:color w:val="000000"/>
          <w:sz w:val="28"/>
          <w:szCs w:val="28"/>
        </w:rPr>
        <w:t>ей (последней) очереди реестра требований кредиторов (наравне с требованиями кредиторов, возникшими до возбуждения дела о банкротстве).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Последствие: ущерб бюджету свыше 100 млрд. руб. ежегодно.</w:t>
      </w:r>
    </w:p>
    <w:p w:rsidR="00F23485" w:rsidRDefault="00B06A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Требования по уплате всех текущих налогов (от продолжения хозя</w:t>
      </w:r>
      <w:r>
        <w:rPr>
          <w:b/>
          <w:color w:val="000000"/>
          <w:sz w:val="28"/>
          <w:szCs w:val="28"/>
        </w:rPr>
        <w:t xml:space="preserve">йственной деятельности, имущественных налогов) понижаются по отношению к реестровым требованиям первой и второй очереди (из причинения вреда жизни или здоровью, по заработной плате, возникшие до возбуждения дела о банкротстве) погашаются приоритетно перед </w:t>
      </w:r>
      <w:r>
        <w:rPr>
          <w:b/>
          <w:color w:val="000000"/>
          <w:sz w:val="28"/>
          <w:szCs w:val="28"/>
        </w:rPr>
        <w:t>требованиями по уплате.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Последствие: рост числа банкротств, поскольку ведение бизнеса в банкротстве становится выгодным, так как де-факто не будет облагаться налогами; снижение налоговых поступлений в региональный и местный бюджеты.</w:t>
      </w:r>
    </w:p>
    <w:p w:rsidR="00F23485" w:rsidRDefault="00B06A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Не все текущие имущественные налоги на предмет залога, а лишь начисленные с даты открытия конкурсного производства погашаются за счет средств от реализации предмета залога до распределения залоговому кредитору.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Последствие: снижение налоговых поступлений в</w:t>
      </w:r>
      <w:r>
        <w:rPr>
          <w:color w:val="000000"/>
          <w:sz w:val="28"/>
          <w:szCs w:val="28"/>
        </w:rPr>
        <w:t xml:space="preserve"> региональный и местный бюджеты.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>
        <w:rPr>
          <w:b/>
          <w:color w:val="000000"/>
          <w:sz w:val="28"/>
          <w:szCs w:val="28"/>
        </w:rPr>
        <w:t>Денежные средства от реализации предмета залога, причитающиеся в счет уплаты текущих имущественных налогов, могут быть перераспределены в пользу залогового кредитора, если столь большой размер долга возник не по вине зал</w:t>
      </w:r>
      <w:r>
        <w:rPr>
          <w:b/>
          <w:color w:val="000000"/>
          <w:sz w:val="28"/>
          <w:szCs w:val="28"/>
        </w:rPr>
        <w:t>огового кредитора, даже если это негативно повлияет на региональный и местный бюджеты, а также выполнение социальных обязательств соответствующих публичных образований. При этом перераспределить можно всю сумму долга, а не только пени.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Последствие: снижени</w:t>
      </w:r>
      <w:r>
        <w:rPr>
          <w:color w:val="000000"/>
          <w:sz w:val="28"/>
          <w:szCs w:val="28"/>
        </w:rPr>
        <w:t>е налоговых поступлений в региональный и местный бюджеты.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>
        <w:rPr>
          <w:b/>
          <w:color w:val="000000"/>
          <w:sz w:val="28"/>
          <w:szCs w:val="28"/>
        </w:rPr>
        <w:t>Во вторую очередь после требований по заработной плате погашаются требования по НДФЛ и лишь по обязательному пенсионному страхованию (а не по единому тарифу, который включает требования по медици</w:t>
      </w:r>
      <w:r>
        <w:rPr>
          <w:b/>
          <w:color w:val="000000"/>
          <w:sz w:val="28"/>
          <w:szCs w:val="28"/>
        </w:rPr>
        <w:t>нскому страхованию и обязательному социальному страхованию как сейчас установлено законом).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Последствие: снижение источников финансирования бесплатной медицины.</w:t>
      </w:r>
    </w:p>
    <w:p w:rsidR="00F23485" w:rsidRDefault="00F2348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7"/>
        <w:jc w:val="both"/>
        <w:rPr>
          <w:color w:val="000000"/>
          <w:sz w:val="28"/>
          <w:szCs w:val="28"/>
        </w:rPr>
      </w:pP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Таким образом, предлагаемые Депутатским законопроектом изменения концептуально противоречат Пр</w:t>
      </w:r>
      <w:r>
        <w:rPr>
          <w:color w:val="000000"/>
          <w:sz w:val="28"/>
          <w:szCs w:val="28"/>
        </w:rPr>
        <w:t>авительственному законопроекту.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Принятие Депутатского законопроекта позволит использовать институт банкротства для уклонения от исполнения обязательств перед бюджетом.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Понижение очерёдности уплаты текущих обязательных платежей до третьей очереди реестровых требований приведёт к понижению их удовлетворения до 4%, исходя из данных ЕФРСБ за 2021-2023 год (соотношение требований кредиторов третьей очереди, не обеспеченных за</w:t>
      </w:r>
      <w:r>
        <w:rPr>
          <w:color w:val="000000"/>
          <w:sz w:val="28"/>
          <w:szCs w:val="28"/>
        </w:rPr>
        <w:t>логом, включенных в реестр и погашенных).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Ежегодная сумма начислений по восстановленному НДС в банкротстве составляла 67,8 млрд. руб. Таким образом, прогнозируемые потери бюджета при отнесении восстановленного в банкротстве НДС к третьей очереди составят сумму в размере до 65,09 млрд. руб. в год.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Ежегодная сумма начислений по налогу на прибыль в банкротстве составляла 49,8 млрд. руб. Таким образом, прогнозируемые потери бюджета при </w:t>
      </w:r>
      <w:r>
        <w:rPr>
          <w:color w:val="000000"/>
          <w:sz w:val="28"/>
          <w:szCs w:val="28"/>
        </w:rPr>
        <w:lastRenderedPageBreak/>
        <w:t>отнесении начислений по налогу на прибыль в банкротстве к третьей очереди превысят сумму в размере до 47,81 млрд. руб.</w:t>
      </w:r>
      <w:r>
        <w:rPr>
          <w:color w:val="000000"/>
          <w:sz w:val="28"/>
          <w:szCs w:val="28"/>
        </w:rPr>
        <w:t xml:space="preserve"> в год.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учетом изложенного принятие Депутатского законопроекта усилит стимулы для уклонения от исполнения обязательств перед бюджетом с использованием института банкротства. 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Совокупный размер потерь по двум данным видам налогов составит 112,9 млрд руб. </w:t>
      </w:r>
      <w:r>
        <w:rPr>
          <w:color w:val="000000"/>
          <w:sz w:val="28"/>
          <w:szCs w:val="28"/>
        </w:rPr>
        <w:t xml:space="preserve">в год. 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Потери регионального бюджета, а именно Ленинградской области составят не менее 350 млн. руб. в год.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основании изложенного Депутатский законопроект не может быть поддержан.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           </w:t>
      </w:r>
    </w:p>
    <w:p w:rsidR="00F23485" w:rsidRDefault="00F2348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6"/>
          <w:szCs w:val="26"/>
        </w:rPr>
      </w:pPr>
    </w:p>
    <w:p w:rsidR="00F23485" w:rsidRDefault="00F2348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6"/>
          <w:szCs w:val="26"/>
        </w:rPr>
      </w:pP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Управления,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Государственный советник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Российской Федерации 3 класса</w:t>
      </w:r>
      <w:r>
        <w:rPr>
          <w:color w:val="000000"/>
          <w:sz w:val="28"/>
          <w:szCs w:val="28"/>
        </w:rPr>
        <w:tab/>
        <w:t xml:space="preserve">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  Е.А. Кобякова</w:t>
      </w:r>
    </w:p>
    <w:p w:rsidR="00F23485" w:rsidRDefault="00F2348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</w:p>
    <w:p w:rsidR="00F23485" w:rsidRDefault="00F2348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F23485" w:rsidRDefault="00F2348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F23485" w:rsidRDefault="00F2348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F23485" w:rsidRDefault="00F2348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F23485" w:rsidRDefault="00F2348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F23485" w:rsidRDefault="00F2348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F23485" w:rsidRDefault="00F2348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F23485" w:rsidRDefault="00F2348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F23485" w:rsidRDefault="00F2348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Матвеева Арина Сергеевна</w:t>
      </w:r>
    </w:p>
    <w:p w:rsidR="00F23485" w:rsidRDefault="00B06A6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(812) 679-59-14 (доб.1157)</w:t>
      </w:r>
    </w:p>
    <w:sectPr w:rsidR="00F23485">
      <w:pgSz w:w="11906" w:h="16838"/>
      <w:pgMar w:top="284" w:right="851" w:bottom="568" w:left="1418" w:header="709" w:footer="709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6F62F3"/>
    <w:multiLevelType w:val="multilevel"/>
    <w:tmpl w:val="828CB0D4"/>
    <w:lvl w:ilvl="0">
      <w:start w:val="1"/>
      <w:numFmt w:val="decimal"/>
      <w:lvlText w:val="%1."/>
      <w:lvlJc w:val="left"/>
      <w:pPr>
        <w:ind w:left="1759" w:hanging="105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485"/>
    <w:rsid w:val="00A8266C"/>
    <w:rsid w:val="00B06A62"/>
    <w:rsid w:val="00F2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5B1A95-9652-448B-B69F-D84A1C2C8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3508</Words>
  <Characters>19997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Коршунова Ирина Валерьевна</dc:creator>
  <cp:lastModifiedBy>Коршунова Ирина Валерьевна</cp:lastModifiedBy>
  <cp:revision>2</cp:revision>
  <dcterms:created xsi:type="dcterms:W3CDTF">2024-11-25T11:26:00Z</dcterms:created>
  <dcterms:modified xsi:type="dcterms:W3CDTF">2024-11-25T11:26:00Z</dcterms:modified>
</cp:coreProperties>
</file>