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3BA" w:rsidRPr="00CC4FA0" w:rsidRDefault="00A373BA" w:rsidP="00A373BA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CC4FA0">
        <w:rPr>
          <w:rFonts w:ascii="Times New Roman" w:hAnsi="Times New Roman"/>
          <w:bCs/>
          <w:sz w:val="26"/>
          <w:szCs w:val="26"/>
        </w:rPr>
        <w:t>Обоснование необходимости принятия областного закона</w:t>
      </w:r>
    </w:p>
    <w:p w:rsidR="00A373BA" w:rsidRPr="00CC4FA0" w:rsidRDefault="00A373BA" w:rsidP="00A373B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C4FA0">
        <w:rPr>
          <w:rFonts w:ascii="Times New Roman" w:hAnsi="Times New Roman"/>
          <w:sz w:val="26"/>
          <w:szCs w:val="26"/>
        </w:rPr>
        <w:t>«</w:t>
      </w:r>
      <w:r w:rsidR="00281A01" w:rsidRPr="00CC4FA0">
        <w:rPr>
          <w:rFonts w:ascii="Times New Roman" w:hAnsi="Times New Roman"/>
          <w:sz w:val="26"/>
          <w:szCs w:val="26"/>
        </w:rPr>
        <w:t>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Pr="00CC4FA0">
        <w:rPr>
          <w:rFonts w:ascii="Times New Roman" w:hAnsi="Times New Roman"/>
          <w:sz w:val="26"/>
          <w:szCs w:val="26"/>
        </w:rPr>
        <w:t xml:space="preserve">» </w:t>
      </w:r>
    </w:p>
    <w:p w:rsidR="00A373BA" w:rsidRPr="00CC4FA0" w:rsidRDefault="00A373BA" w:rsidP="00A373B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17DFD" w:rsidRPr="00CC4FA0" w:rsidRDefault="0084451A" w:rsidP="00817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C4FA0">
        <w:rPr>
          <w:rFonts w:ascii="Times New Roman" w:hAnsi="Times New Roman"/>
          <w:sz w:val="26"/>
          <w:szCs w:val="26"/>
        </w:rPr>
        <w:t>Настоящим п</w:t>
      </w:r>
      <w:r w:rsidR="00A373BA" w:rsidRPr="00CC4FA0">
        <w:rPr>
          <w:rFonts w:ascii="Times New Roman" w:hAnsi="Times New Roman"/>
          <w:sz w:val="26"/>
          <w:szCs w:val="26"/>
        </w:rPr>
        <w:t>роект</w:t>
      </w:r>
      <w:r w:rsidRPr="00CC4FA0">
        <w:rPr>
          <w:rFonts w:ascii="Times New Roman" w:hAnsi="Times New Roman"/>
          <w:sz w:val="26"/>
          <w:szCs w:val="26"/>
        </w:rPr>
        <w:t>ом</w:t>
      </w:r>
      <w:r w:rsidR="00A373BA" w:rsidRPr="00CC4FA0">
        <w:rPr>
          <w:rFonts w:ascii="Times New Roman" w:hAnsi="Times New Roman"/>
          <w:sz w:val="26"/>
          <w:szCs w:val="26"/>
        </w:rPr>
        <w:t xml:space="preserve"> областного закона </w:t>
      </w:r>
      <w:r w:rsidRPr="00CC4FA0">
        <w:rPr>
          <w:rFonts w:ascii="Times New Roman" w:hAnsi="Times New Roman"/>
          <w:sz w:val="26"/>
          <w:szCs w:val="26"/>
        </w:rPr>
        <w:t xml:space="preserve">предусматривается </w:t>
      </w:r>
      <w:r w:rsidR="00A373BA" w:rsidRPr="00CC4FA0">
        <w:rPr>
          <w:rFonts w:ascii="Times New Roman" w:hAnsi="Times New Roman"/>
          <w:sz w:val="26"/>
          <w:szCs w:val="26"/>
        </w:rPr>
        <w:t xml:space="preserve"> </w:t>
      </w:r>
      <w:r w:rsidR="00817DFD" w:rsidRPr="00CC4FA0">
        <w:rPr>
          <w:rFonts w:ascii="Times New Roman" w:hAnsi="Times New Roman"/>
          <w:sz w:val="26"/>
          <w:szCs w:val="26"/>
        </w:rPr>
        <w:t>возврат на муниципальный уровень ранее перераспределенного полномочия по утверждению единого документа территориального планирования и градостроительного зониров</w:t>
      </w:r>
      <w:r w:rsidR="008F7AA1" w:rsidRPr="00CC4FA0">
        <w:rPr>
          <w:rFonts w:ascii="Times New Roman" w:hAnsi="Times New Roman"/>
          <w:sz w:val="26"/>
          <w:szCs w:val="26"/>
        </w:rPr>
        <w:t>ания муниципального округа, предусмотренного частью 10 статьи 28.1 Градостроительного кодекса РФ.</w:t>
      </w:r>
    </w:p>
    <w:p w:rsidR="00AF34BF" w:rsidRPr="00CC4FA0" w:rsidRDefault="00410990" w:rsidP="00817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CC4FA0">
        <w:rPr>
          <w:rFonts w:ascii="Times New Roman" w:hAnsi="Times New Roman"/>
          <w:sz w:val="26"/>
          <w:szCs w:val="26"/>
        </w:rPr>
        <w:t>В соответствии с частью 1 статьи 28.1 Градостроите</w:t>
      </w:r>
      <w:bookmarkStart w:id="0" w:name="_GoBack"/>
      <w:bookmarkEnd w:id="0"/>
      <w:r w:rsidRPr="00CC4FA0">
        <w:rPr>
          <w:rFonts w:ascii="Times New Roman" w:hAnsi="Times New Roman"/>
          <w:sz w:val="26"/>
          <w:szCs w:val="26"/>
        </w:rPr>
        <w:t>льного кодекса РФ единым документом территориального планирования и градостроительного</w:t>
      </w:r>
      <w:r w:rsidR="00C634B1">
        <w:rPr>
          <w:rFonts w:ascii="Times New Roman" w:hAnsi="Times New Roman"/>
          <w:sz w:val="26"/>
          <w:szCs w:val="26"/>
        </w:rPr>
        <w:t xml:space="preserve"> зонирования</w:t>
      </w:r>
      <w:r w:rsidRPr="00CC4FA0">
        <w:rPr>
          <w:rFonts w:ascii="Times New Roman" w:hAnsi="Times New Roman"/>
          <w:sz w:val="26"/>
          <w:szCs w:val="26"/>
        </w:rPr>
        <w:t xml:space="preserve"> муниципального округа</w:t>
      </w:r>
      <w:r w:rsidR="001A02A3" w:rsidRPr="00CC4FA0">
        <w:rPr>
          <w:rFonts w:ascii="Times New Roman" w:hAnsi="Times New Roman"/>
          <w:sz w:val="26"/>
          <w:szCs w:val="26"/>
        </w:rPr>
        <w:t xml:space="preserve"> (далее – единый документ)</w:t>
      </w:r>
      <w:r w:rsidRPr="00CC4FA0">
        <w:rPr>
          <w:rFonts w:ascii="Times New Roman" w:hAnsi="Times New Roman"/>
          <w:sz w:val="26"/>
          <w:szCs w:val="26"/>
        </w:rPr>
        <w:t xml:space="preserve"> признается генеральный план муниципального округа, в том числе подготовленный применительно к отдельным населенным пунктам, входящим в состав муниципального округа, частям населенного пункта, которые наряду с положением о территориальном планировании и картами, подлежащими включению в генеральный план в соответствии</w:t>
      </w:r>
      <w:proofErr w:type="gramEnd"/>
      <w:r w:rsidRPr="00CC4FA0">
        <w:rPr>
          <w:rFonts w:ascii="Times New Roman" w:hAnsi="Times New Roman"/>
          <w:sz w:val="26"/>
          <w:szCs w:val="26"/>
        </w:rPr>
        <w:t xml:space="preserve"> со статьей 23 Градостроительного кодекса РФ, содержат карты градостроительного зонирования, градостроительные регламенты в отношении земельных участков и объектов капитального строительства, порядок применения карт градостроительного зонирования и градостроительных регламентов и внесения в них изменений, включающий в себя положения, предусмотренные частью 3 статьи 30 Градостроительного кодекса РФ.</w:t>
      </w:r>
    </w:p>
    <w:p w:rsidR="001A02A3" w:rsidRPr="00CC4FA0" w:rsidRDefault="001A02A3" w:rsidP="00817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C4FA0">
        <w:rPr>
          <w:rFonts w:ascii="Times New Roman" w:hAnsi="Times New Roman"/>
          <w:sz w:val="26"/>
          <w:szCs w:val="26"/>
        </w:rPr>
        <w:t>Таким образом</w:t>
      </w:r>
      <w:r w:rsidR="006C4A0C" w:rsidRPr="00CC4FA0">
        <w:rPr>
          <w:rFonts w:ascii="Times New Roman" w:hAnsi="Times New Roman"/>
          <w:sz w:val="26"/>
          <w:szCs w:val="26"/>
        </w:rPr>
        <w:t>,</w:t>
      </w:r>
      <w:r w:rsidRPr="00CC4FA0">
        <w:rPr>
          <w:rFonts w:ascii="Times New Roman" w:hAnsi="Times New Roman"/>
          <w:sz w:val="26"/>
          <w:szCs w:val="26"/>
        </w:rPr>
        <w:t xml:space="preserve"> единый документ </w:t>
      </w:r>
      <w:r w:rsidR="00C72645" w:rsidRPr="00CC4FA0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CC4FA0">
        <w:rPr>
          <w:rFonts w:ascii="Times New Roman" w:hAnsi="Times New Roman"/>
          <w:sz w:val="26"/>
          <w:szCs w:val="26"/>
        </w:rPr>
        <w:t>является документом, совмещающим нормы о территориальном планировании и нормы о градостроительном зонировании</w:t>
      </w:r>
      <w:r w:rsidR="00C72645" w:rsidRPr="00CC4FA0">
        <w:rPr>
          <w:rFonts w:ascii="Times New Roman" w:hAnsi="Times New Roman"/>
          <w:sz w:val="26"/>
          <w:szCs w:val="26"/>
        </w:rPr>
        <w:t xml:space="preserve">, в обычных условиях подлежащие включению в генеральный план муниципального округа </w:t>
      </w:r>
      <w:r w:rsidR="006C4A0C" w:rsidRPr="00CC4FA0">
        <w:rPr>
          <w:rFonts w:ascii="Times New Roman" w:hAnsi="Times New Roman"/>
          <w:sz w:val="26"/>
          <w:szCs w:val="26"/>
        </w:rPr>
        <w:t>и в правила землепользования и застройки муниципального округа соответственно.</w:t>
      </w:r>
    </w:p>
    <w:p w:rsidR="006C4A0C" w:rsidRPr="00CC4FA0" w:rsidRDefault="00B77A40" w:rsidP="00817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C4FA0">
        <w:rPr>
          <w:rFonts w:ascii="Times New Roman" w:hAnsi="Times New Roman"/>
          <w:sz w:val="26"/>
          <w:szCs w:val="26"/>
        </w:rPr>
        <w:t xml:space="preserve">Основываясь на информации </w:t>
      </w:r>
      <w:r w:rsidR="008B3955" w:rsidRPr="00CC4FA0">
        <w:rPr>
          <w:rFonts w:ascii="Times New Roman" w:hAnsi="Times New Roman"/>
          <w:sz w:val="26"/>
          <w:szCs w:val="26"/>
        </w:rPr>
        <w:t>федеральных органов исполнительной власти, введение в Градостроительный кодекс РФ норм о едином документе осуществлено в первую очередь в связи с введением в законодательство муниципального округа как новой формы территориальной организации местного самоуправления.</w:t>
      </w:r>
    </w:p>
    <w:p w:rsidR="008B3955" w:rsidRPr="00CC4FA0" w:rsidRDefault="00D15F76" w:rsidP="00817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C4FA0">
        <w:rPr>
          <w:rFonts w:ascii="Times New Roman" w:hAnsi="Times New Roman"/>
          <w:sz w:val="26"/>
          <w:szCs w:val="26"/>
        </w:rPr>
        <w:t xml:space="preserve">Утверждение единого документа муниципального округа позволит признать утратившими силу ранее установленное схемой территориального планирования преобразованного муниципального района, генеральными планами и правилами землепользования и застройки преобразованных поселений градостроительное регулирование </w:t>
      </w:r>
      <w:r w:rsidR="00CC4FA0" w:rsidRPr="00CC4FA0">
        <w:rPr>
          <w:rFonts w:ascii="Times New Roman" w:hAnsi="Times New Roman"/>
          <w:sz w:val="26"/>
          <w:szCs w:val="26"/>
        </w:rPr>
        <w:t>и перейти к осуществлению единой градостроительной политики муниципального округа.</w:t>
      </w:r>
    </w:p>
    <w:p w:rsidR="008F6C61" w:rsidRPr="00CC4FA0" w:rsidRDefault="008F6C61" w:rsidP="00817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373BA" w:rsidRPr="00CC4FA0" w:rsidRDefault="00A373BA" w:rsidP="00A37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C4FA0">
        <w:rPr>
          <w:rFonts w:ascii="Times New Roman" w:eastAsiaTheme="minorHAnsi" w:hAnsi="Times New Roman"/>
          <w:sz w:val="26"/>
          <w:szCs w:val="26"/>
        </w:rPr>
        <w:t>Председатель Комитета</w:t>
      </w:r>
    </w:p>
    <w:p w:rsidR="00A373BA" w:rsidRPr="00CC4FA0" w:rsidRDefault="00A373BA" w:rsidP="00A37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6"/>
          <w:szCs w:val="26"/>
        </w:rPr>
      </w:pPr>
      <w:r w:rsidRPr="00CC4FA0">
        <w:rPr>
          <w:rFonts w:ascii="Times New Roman" w:eastAsiaTheme="minorHAnsi" w:hAnsi="Times New Roman"/>
          <w:sz w:val="26"/>
          <w:szCs w:val="26"/>
        </w:rPr>
        <w:t>градостроительной политики</w:t>
      </w:r>
    </w:p>
    <w:p w:rsidR="00723C50" w:rsidRDefault="00A373BA" w:rsidP="00CC4FA0">
      <w:pPr>
        <w:autoSpaceDE w:val="0"/>
        <w:autoSpaceDN w:val="0"/>
        <w:adjustRightInd w:val="0"/>
        <w:spacing w:after="0" w:line="240" w:lineRule="auto"/>
        <w:jc w:val="both"/>
      </w:pPr>
      <w:r w:rsidRPr="00CC4FA0">
        <w:rPr>
          <w:rFonts w:ascii="Times New Roman" w:eastAsiaTheme="minorHAnsi" w:hAnsi="Times New Roman"/>
          <w:sz w:val="26"/>
          <w:szCs w:val="26"/>
        </w:rPr>
        <w:t>Ленинградской области</w:t>
      </w:r>
      <w:r w:rsidRPr="00CC4FA0">
        <w:rPr>
          <w:rFonts w:ascii="Times New Roman" w:eastAsiaTheme="minorHAnsi" w:hAnsi="Times New Roman"/>
          <w:sz w:val="26"/>
          <w:szCs w:val="26"/>
        </w:rPr>
        <w:tab/>
      </w:r>
      <w:r w:rsidRPr="00CC4FA0">
        <w:rPr>
          <w:rFonts w:ascii="Times New Roman" w:eastAsiaTheme="minorHAnsi" w:hAnsi="Times New Roman"/>
          <w:sz w:val="26"/>
          <w:szCs w:val="26"/>
        </w:rPr>
        <w:tab/>
      </w:r>
      <w:r w:rsidRPr="00CC4FA0">
        <w:rPr>
          <w:rFonts w:ascii="Times New Roman" w:eastAsiaTheme="minorHAnsi" w:hAnsi="Times New Roman"/>
          <w:sz w:val="26"/>
          <w:szCs w:val="26"/>
        </w:rPr>
        <w:tab/>
      </w:r>
      <w:r w:rsidRPr="00CC4FA0">
        <w:rPr>
          <w:rFonts w:ascii="Times New Roman" w:eastAsiaTheme="minorHAnsi" w:hAnsi="Times New Roman"/>
          <w:sz w:val="26"/>
          <w:szCs w:val="26"/>
        </w:rPr>
        <w:tab/>
      </w:r>
      <w:r w:rsidRPr="00CC4FA0">
        <w:rPr>
          <w:rFonts w:ascii="Times New Roman" w:eastAsiaTheme="minorHAnsi" w:hAnsi="Times New Roman"/>
          <w:sz w:val="26"/>
          <w:szCs w:val="26"/>
        </w:rPr>
        <w:tab/>
      </w:r>
      <w:r w:rsidRPr="00CC4FA0">
        <w:rPr>
          <w:rFonts w:ascii="Times New Roman" w:eastAsiaTheme="minorHAnsi" w:hAnsi="Times New Roman"/>
          <w:sz w:val="26"/>
          <w:szCs w:val="26"/>
        </w:rPr>
        <w:tab/>
        <w:t xml:space="preserve">      </w:t>
      </w:r>
      <w:r w:rsidR="00CC4FA0">
        <w:rPr>
          <w:rFonts w:ascii="Times New Roman" w:eastAsiaTheme="minorHAnsi" w:hAnsi="Times New Roman"/>
          <w:sz w:val="26"/>
          <w:szCs w:val="26"/>
        </w:rPr>
        <w:tab/>
      </w:r>
      <w:r w:rsidR="00CC4FA0">
        <w:rPr>
          <w:rFonts w:ascii="Times New Roman" w:eastAsiaTheme="minorHAnsi" w:hAnsi="Times New Roman"/>
          <w:sz w:val="26"/>
          <w:szCs w:val="26"/>
        </w:rPr>
        <w:tab/>
      </w:r>
      <w:r w:rsidRPr="00CC4FA0">
        <w:rPr>
          <w:rFonts w:ascii="Times New Roman" w:eastAsiaTheme="minorHAnsi" w:hAnsi="Times New Roman"/>
          <w:sz w:val="26"/>
          <w:szCs w:val="26"/>
        </w:rPr>
        <w:t>И.Я. Кулаков</w:t>
      </w:r>
    </w:p>
    <w:sectPr w:rsidR="00723C50" w:rsidSect="00CC4FA0">
      <w:pgSz w:w="11906" w:h="16838"/>
      <w:pgMar w:top="1276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3BA"/>
    <w:rsid w:val="001A02A3"/>
    <w:rsid w:val="00281A01"/>
    <w:rsid w:val="002D5ACE"/>
    <w:rsid w:val="003621A0"/>
    <w:rsid w:val="00373C07"/>
    <w:rsid w:val="00410990"/>
    <w:rsid w:val="006C4A0C"/>
    <w:rsid w:val="00723C50"/>
    <w:rsid w:val="00760FF4"/>
    <w:rsid w:val="00817DFD"/>
    <w:rsid w:val="0084451A"/>
    <w:rsid w:val="008B3955"/>
    <w:rsid w:val="008E21E8"/>
    <w:rsid w:val="008F6C61"/>
    <w:rsid w:val="008F7AA1"/>
    <w:rsid w:val="00A373BA"/>
    <w:rsid w:val="00A61AFB"/>
    <w:rsid w:val="00AF34BF"/>
    <w:rsid w:val="00B40C27"/>
    <w:rsid w:val="00B5738E"/>
    <w:rsid w:val="00B77A40"/>
    <w:rsid w:val="00C634B1"/>
    <w:rsid w:val="00C72645"/>
    <w:rsid w:val="00CC4FA0"/>
    <w:rsid w:val="00D15F76"/>
    <w:rsid w:val="00F240E6"/>
    <w:rsid w:val="00F74658"/>
    <w:rsid w:val="00FE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80B240-37E7-423D-ABDD-C67F2E249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28</cp:revision>
  <dcterms:created xsi:type="dcterms:W3CDTF">2024-06-18T14:04:00Z</dcterms:created>
  <dcterms:modified xsi:type="dcterms:W3CDTF">2024-08-06T11:50:00Z</dcterms:modified>
</cp:coreProperties>
</file>