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CD" w:rsidRPr="005B47FD" w:rsidRDefault="005B47FD" w:rsidP="005B47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B47FD">
        <w:rPr>
          <w:rFonts w:ascii="Times New Roman" w:hAnsi="Times New Roman" w:cs="Times New Roman"/>
          <w:sz w:val="28"/>
          <w:szCs w:val="28"/>
        </w:rPr>
        <w:t>орядок</w:t>
      </w:r>
    </w:p>
    <w:p w:rsidR="005B47FD" w:rsidRDefault="005B47FD" w:rsidP="005B47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субсидий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FD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B47FD">
        <w:rPr>
          <w:rFonts w:ascii="Times New Roman" w:hAnsi="Times New Roman" w:cs="Times New Roman"/>
          <w:sz w:val="28"/>
          <w:szCs w:val="28"/>
        </w:rPr>
        <w:t>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FD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B47FD">
        <w:rPr>
          <w:rFonts w:ascii="Times New Roman" w:hAnsi="Times New Roman" w:cs="Times New Roman"/>
          <w:sz w:val="28"/>
          <w:szCs w:val="28"/>
        </w:rPr>
        <w:t xml:space="preserve">енинградской области на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FD">
        <w:rPr>
          <w:rFonts w:ascii="Times New Roman" w:hAnsi="Times New Roman" w:cs="Times New Roman"/>
          <w:sz w:val="28"/>
          <w:szCs w:val="28"/>
        </w:rPr>
        <w:t>дополнительных расходов местных бюджетов на сохранение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FD">
        <w:rPr>
          <w:rFonts w:ascii="Times New Roman" w:hAnsi="Times New Roman" w:cs="Times New Roman"/>
          <w:sz w:val="28"/>
          <w:szCs w:val="28"/>
        </w:rPr>
        <w:t xml:space="preserve">целевых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показателей повышения оплаты труда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FD">
        <w:rPr>
          <w:rFonts w:ascii="Times New Roman" w:hAnsi="Times New Roman" w:cs="Times New Roman"/>
          <w:sz w:val="28"/>
          <w:szCs w:val="28"/>
        </w:rPr>
        <w:t>муниципальных учреждений культуры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B47FD">
        <w:rPr>
          <w:rFonts w:ascii="Times New Roman" w:hAnsi="Times New Roman" w:cs="Times New Roman"/>
          <w:sz w:val="28"/>
          <w:szCs w:val="28"/>
        </w:rPr>
        <w:t>казом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B47FD">
        <w:rPr>
          <w:rFonts w:ascii="Times New Roman" w:hAnsi="Times New Roman" w:cs="Times New Roman"/>
          <w:sz w:val="28"/>
          <w:szCs w:val="28"/>
        </w:rPr>
        <w:t xml:space="preserve">резидента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B47FD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B47FD">
        <w:rPr>
          <w:rFonts w:ascii="Times New Roman" w:hAnsi="Times New Roman" w:cs="Times New Roman"/>
          <w:sz w:val="28"/>
          <w:szCs w:val="28"/>
        </w:rPr>
        <w:t xml:space="preserve">едерации от 7 мая 2012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B47FD">
        <w:rPr>
          <w:rFonts w:ascii="Times New Roman" w:hAnsi="Times New Roman" w:cs="Times New Roman"/>
          <w:sz w:val="28"/>
          <w:szCs w:val="28"/>
        </w:rPr>
        <w:t xml:space="preserve"> 597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9CD" w:rsidRPr="005B47FD" w:rsidRDefault="005B47FD" w:rsidP="005B47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B47FD">
        <w:rPr>
          <w:rFonts w:ascii="Times New Roman" w:hAnsi="Times New Roman" w:cs="Times New Roman"/>
          <w:sz w:val="28"/>
          <w:szCs w:val="28"/>
        </w:rPr>
        <w:t xml:space="preserve"> мероприятиях по реализации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7FD">
        <w:rPr>
          <w:rFonts w:ascii="Times New Roman" w:hAnsi="Times New Roman" w:cs="Times New Roman"/>
          <w:sz w:val="28"/>
          <w:szCs w:val="28"/>
        </w:rPr>
        <w:t>социальной политики"</w:t>
      </w:r>
    </w:p>
    <w:p w:rsidR="00A479CD" w:rsidRPr="005B47FD" w:rsidRDefault="00A479CD" w:rsidP="005B47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цели, условия, порядок предоставления субсидий из областного бюджета Ленинградской области бюджетам муниципальных образований Ленинградской области (далее - муниципальные образования) на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</w:t>
      </w:r>
      <w:hyperlink r:id="rId5">
        <w:r w:rsidRPr="005B47FD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5B47FD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 в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государственной программы Ленинградской области "Развитие культуры в Ленинградской области" (далее - субсидии) и критерии отбора муниципальных образований для предоставления субсидии.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1.2. Субсидии предоставляются бюджетам муниципальных образований Ленинградской области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и туризму Ленинградской области (далее - комитет).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1.3. Субсидии предоставляются на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расходных обязательств бюджетов муниципальных образований, возникающих при выполнении полномочий органов местного самоуправления по следующим вопросам местного значения: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организация библиотечного обслуживания населения;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создание условий для организации досуга и обеспечения жителей услугами организаций культуры.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 xml:space="preserve">В целях настоящего Порядка под дополнительными расходами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</w:t>
      </w:r>
      <w:hyperlink r:id="rId6">
        <w:r w:rsidRPr="005B47FD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5B47FD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 понимаются расходы, предусмотренные в фонде оплаты труда муниципальных учреждений культуры на выплату окладов, компенсационных и стимулирующих выплат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работникам списочного состава учреждений без внешних совместителей и работающих по договорам гражданско-правового характера, а также соответствующие начисления на выплаты по оплате труда.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lastRenderedPageBreak/>
        <w:t>2. Цели и условия предоставления субсидий,</w:t>
      </w:r>
    </w:p>
    <w:p w:rsidR="00A479CD" w:rsidRPr="005B47FD" w:rsidRDefault="00A479CD" w:rsidP="005B47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критерии отбора муниципальных образований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2.1. Субсидии предоставляются в целях сохранения квалифицированных кадров и стимулирования повышения эффективности и качества предоставляемых услуг муниципальных учреждений культуры в зависимости от квалификации работника, сложности выполняемой работы, количества и качества затраченного труда с учетом показателей и критериев оценки эффективности труда работников.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2.2. Результатом использования субсидии муниципальными образованиями (далее - результаты использования субсидии) является соотношение средней заработной платы работников муниципальных учреждений культуры и среднемесячной начисленной заработной платы наемных работников в организациях, у индивидуальных предпринимателей и физических лиц (к среднемесячному доходу от трудовой деятельности) по Ленинградской области.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Значения результата использования субсидии определяются в соответствии с единой формулой, учитывающей особенности муниципальных образований, и устанавливаются соглашением о предоставлении субсидии, заключаемым между комитетом и муниципальным образованием (далее - соглашение).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2.3. Критерием отбора муниципальных образований для предоставления субсидий является наличие на территории муниципального образования муниципальных учреждений (структурных подразделений муниципальных учреждений), предоставляющих услуги в сфере культуры.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2.4. Условия предоставления субсидии устанавливаются в соответствии с </w:t>
      </w:r>
      <w:hyperlink r:id="rId7">
        <w:r w:rsidRPr="005B47FD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5B47FD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3. Методика распределения субсидий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между</w:t>
      </w:r>
      <w:proofErr w:type="gramEnd"/>
    </w:p>
    <w:p w:rsidR="00A479CD" w:rsidRPr="005B47FD" w:rsidRDefault="00A479CD" w:rsidP="005B47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муниципальными образованиями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3.1. Распределение субсидий между муниципальными образованиями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РОС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УС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ПК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- объем субсидий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ПК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- коэффициент эффективности.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Расчетный объем расходов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), необходимый для достижения значений результатов использования субсидии i-м муниципальным образованием, </w:t>
      </w:r>
      <w:r w:rsidRPr="005B47FD">
        <w:rPr>
          <w:rFonts w:ascii="Times New Roman" w:hAnsi="Times New Roman" w:cs="Times New Roman"/>
          <w:sz w:val="28"/>
          <w:szCs w:val="28"/>
        </w:rPr>
        <w:lastRenderedPageBreak/>
        <w:t>определяется по следующей формуле: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УСтек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Ч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Ч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),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размер субсидии, предоставленной бюджету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текущем году;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УСтек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уровень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расходных обязательств бюджетов муниципальных образований из областного бюджета, используемый при расчете субсидии на текущий год;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- дополнительная потребность для достижения целевых показателей результативности на очередной финансовый год;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планируемая численность работников списочного состава (без внешних совместителей) муниципальных учреждений культуры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очередной финансовый год;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численность работников муниципальных учреждений культуры, используемая при расчете субсидии в текущем году.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Дополнительная потребность для достижения целевых показателей результативности на очередной финансовый год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) x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Ч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x 12 x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текущем году;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очередном финансовом году;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12 - количество месяцев;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47F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, соответствующий размеру страховых взносов.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Коэффициент, соответствующий размеру страховых взносов (К), определяется как К = 1 +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Кстр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зн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. / 100),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Кстр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зн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. - процент отчислений страховых взносов во внебюджетные фонды в соответствии с Налоговым </w:t>
      </w:r>
      <w:hyperlink r:id="rId8">
        <w:r w:rsidRPr="005B47F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B47F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Целевое значение средней заработной платы работников муниципальных учреждений культуры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очередном финансовом году (</w:t>
      </w: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сдтд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текущем году;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сдтд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коэффициент увеличения среднемесячной начисленной заработной </w:t>
      </w:r>
      <w:r w:rsidRPr="005B47FD">
        <w:rPr>
          <w:rFonts w:ascii="Times New Roman" w:hAnsi="Times New Roman" w:cs="Times New Roman"/>
          <w:sz w:val="28"/>
          <w:szCs w:val="28"/>
        </w:rPr>
        <w:lastRenderedPageBreak/>
        <w:t>платы наемных работников в организациях, у индивидуальных предпринимателей и физических лиц в Ленинградской области (среднемесячный доход от трудовой деятельности по Ленинградской области - СТДТ) определяется по формуле: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сдтд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СТДТплан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СТДТтек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СТДТплан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среднемесячный доход от трудовой деятельности по Ленинградской области на очередной финансовый год;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СТДТтек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среднемесячный доход от трудовой деятельности по Ленинградской области на текущий финансовый год.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При этом соблюдаются условия: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&gt;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СТДТплан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тек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&gt;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СТДТплан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СТДТплан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Коэффициент эффективности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ПК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) применяется в зависимости от степени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достижения значений результатов использования субсидии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в отчетном периоде следующим образом: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а) для бюджетов муниципальных образований, допустивших превышение значения результата использования субсидии более чем на 5 процентов: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ПК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= (100 -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ZRплан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ZRотч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)) / 100,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ZR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значение результата использования субсидии в отчетном периоде, установленное соглашением о предоставлении субсидии;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ZR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отч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фактическое значение результата использования субсидии в отчетном периоде;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б) в иных случаях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ПК</w:t>
      </w:r>
      <w:proofErr w:type="gramStart"/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= 1.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В случае изменения прогнозного значения среднемесячного дохода от трудовой деятельности по Ленинградской области 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или) внесения изменений в распределение субсидии в течение года предоставления субсидии дополнительная потребность для достижения целевых показателей результативности на очередной финансовый год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:rsidR="00A479CD" w:rsidRPr="005B47FD" w:rsidRDefault="00A479CD" w:rsidP="005B47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Р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) x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Ч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5B47F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x 12 x</w:t>
      </w:r>
      <w:proofErr w:type="gramStart"/>
      <w:r w:rsidRPr="005B47FD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,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47FD">
        <w:rPr>
          <w:rFonts w:ascii="Times New Roman" w:hAnsi="Times New Roman" w:cs="Times New Roman"/>
          <w:sz w:val="28"/>
          <w:szCs w:val="28"/>
        </w:rPr>
        <w:t>Z</w:t>
      </w:r>
      <w:r w:rsidRPr="005B47F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- значение средней заработной платы работников муниципальных учреждений культуры i-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отчетном финансовом периоде.</w:t>
      </w:r>
    </w:p>
    <w:p w:rsidR="00A479CD" w:rsidRPr="005B47FD" w:rsidRDefault="00A479CD" w:rsidP="005B47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9">
        <w:r w:rsidRPr="005B47F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B47FD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22.11.2022 N 837)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3.2. Предельные уровни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для муниципальных образований определяются в соответствии с </w:t>
      </w:r>
      <w:hyperlink r:id="rId10">
        <w:r w:rsidRPr="005B47FD">
          <w:rPr>
            <w:rFonts w:ascii="Times New Roman" w:hAnsi="Times New Roman" w:cs="Times New Roman"/>
            <w:sz w:val="28"/>
            <w:szCs w:val="28"/>
          </w:rPr>
          <w:t>разделом 6</w:t>
        </w:r>
      </w:hyperlink>
      <w:r w:rsidRPr="005B47FD">
        <w:rPr>
          <w:rFonts w:ascii="Times New Roman" w:hAnsi="Times New Roman" w:cs="Times New Roman"/>
          <w:sz w:val="28"/>
          <w:szCs w:val="28"/>
        </w:rPr>
        <w:t xml:space="preserve"> Правил и устанавливаются ежегодно до 1 </w:t>
      </w:r>
      <w:r w:rsidRPr="005B47FD">
        <w:rPr>
          <w:rFonts w:ascii="Times New Roman" w:hAnsi="Times New Roman" w:cs="Times New Roman"/>
          <w:sz w:val="28"/>
          <w:szCs w:val="28"/>
        </w:rPr>
        <w:lastRenderedPageBreak/>
        <w:t>июля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3.3. Распределение субсидий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3.4. Изменение утвержденного распределения субсидии производится в следующих случаях: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а) при уточнении расчетного объема расходов, необходимого для достижения значений целевых показателей результативности;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б) в связи с изменением объема бюджетных ассигнований областного бюджета на предоставление субсидии;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в) при распределении нераспределенного объема субсидий;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г) при отказе муниципального образования от заключения соглашения;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д) в случае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незаключения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в установленный срок соглашения;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е) при расторжении заключенного соглашения.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4. Порядок предоставления и расходования субсидий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 в срок до 15 февраля года предоставления субсидии.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47FD">
        <w:rPr>
          <w:rFonts w:ascii="Times New Roman" w:hAnsi="Times New Roman" w:cs="Times New Roman"/>
          <w:sz w:val="28"/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4.2.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Перечисление субсидий осуществляется на основе графика перечисления субсидий, установленного соглашением.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4.3.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4.4.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47F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B47FD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субсидий, </w:t>
      </w:r>
      <w:r w:rsidRPr="005B47FD">
        <w:rPr>
          <w:rFonts w:ascii="Times New Roman" w:hAnsi="Times New Roman" w:cs="Times New Roman"/>
          <w:sz w:val="28"/>
          <w:szCs w:val="28"/>
        </w:rPr>
        <w:lastRenderedPageBreak/>
        <w:t>а также за соблюдением условий соглашения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4.5. Средства субсидий, использованные муниципальным образованием не по целевому назначению, подлежат возврату в областной бюджет.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 xml:space="preserve">4.6. В случае </w:t>
      </w:r>
      <w:proofErr w:type="spellStart"/>
      <w:r w:rsidRPr="005B47F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B47FD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целевых показателей результативности к нему применяются меры ответственности, предусмотренные </w:t>
      </w:r>
      <w:hyperlink r:id="rId11">
        <w:r w:rsidRPr="005B47FD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5B47F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A479CD" w:rsidRPr="005B47FD" w:rsidRDefault="00A479CD" w:rsidP="005B47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47FD">
        <w:rPr>
          <w:rFonts w:ascii="Times New Roman" w:hAnsi="Times New Roman" w:cs="Times New Roman"/>
          <w:sz w:val="28"/>
          <w:szCs w:val="28"/>
        </w:rPr>
        <w:t>4.7. Разработка показателей и критериев оценки эффективности труда работников осуществляется органами местного самоуправления Ленинградской области в соответствии с положением об оплате и стимулировании труда работников учреждения, утвержденным приказом по учреждению. Начисление стимулирующих выплат осуществляется пропорционально отработанному времени работникам списочного состава учреждений без внешних совместителей, а также работающих по договорам гражданско-правового характера.</w:t>
      </w:r>
      <w:bookmarkStart w:id="0" w:name="_GoBack"/>
      <w:bookmarkEnd w:id="0"/>
    </w:p>
    <w:sectPr w:rsidR="00A479CD" w:rsidRPr="005B47FD" w:rsidSect="005B47F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CD"/>
    <w:rsid w:val="00274E80"/>
    <w:rsid w:val="005B47FD"/>
    <w:rsid w:val="00A479CD"/>
    <w:rsid w:val="00E5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C35E2919C1EA91983D8354A330FE980894D82DEA66D7EF2F281EDBCBB265323F1979CF1FDC5A5DECDD90B6C0eA2D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C35E2919C1EA91983D9C45B630FE980E96D42BEA66D7EF2F281EDBCBB265322D1921C31FD44059EDC8C6E786FB3E80FCCF7A317ECA2419e827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C35E2919C1EA91983D8354A330FE980D92D529E963D7EF2F281EDBCBB265323F1979CF1FDC5A5DECDD90B6C0eA2DN" TargetMode="External"/><Relationship Id="rId11" Type="http://schemas.openxmlformats.org/officeDocument/2006/relationships/hyperlink" Target="consultantplus://offline/ref=4DC35E2919C1EA91983D9C45B630FE980E96D42BEA66D7EF2F281EDBCBB265322D1921C31FD44159E3C8C6E786FB3E80FCCF7A317ECA2419e827N" TargetMode="External"/><Relationship Id="rId5" Type="http://schemas.openxmlformats.org/officeDocument/2006/relationships/hyperlink" Target="consultantplus://offline/ref=4DC35E2919C1EA91983D8354A330FE980D92D529E963D7EF2F281EDBCBB265323F1979CF1FDC5A5DECDD90B6C0eA2DN" TargetMode="External"/><Relationship Id="rId10" Type="http://schemas.openxmlformats.org/officeDocument/2006/relationships/hyperlink" Target="consultantplus://offline/ref=4DC35E2919C1EA91983D9C45B630FE980E96D42BEA66D7EF2F281EDBCBB265322D1921C31FD44155E3C8C6E786FB3E80FCCF7A317ECA2419e82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C35E2919C1EA91983D9C45B630FE980E96D92AEE62D7EF2F281EDBCBB265322D1921C31FD44059E5C8C6E786FB3E80FCCF7A317ECA2419e82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2050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Геннадьевна Кудрявцева</dc:creator>
  <cp:lastModifiedBy>Старостина Рузанна Левоновна</cp:lastModifiedBy>
  <cp:revision>2</cp:revision>
  <dcterms:created xsi:type="dcterms:W3CDTF">2023-08-08T13:54:00Z</dcterms:created>
  <dcterms:modified xsi:type="dcterms:W3CDTF">2023-08-15T07:44:00Z</dcterms:modified>
</cp:coreProperties>
</file>