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813" w:rsidRPr="002F1B2C" w:rsidRDefault="002F1B2C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Pr="002F1B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орядок и методика</w:t>
      </w:r>
    </w:p>
    <w:p w:rsidR="003F0813" w:rsidRPr="002F1B2C" w:rsidRDefault="002F1B2C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распределения дотаций на выравнивание бюджетной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F1B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обеспеченности муниципальных районов (городских округов),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F1B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определения критерия выравнивания и дополнительных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F1B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нормативов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1. Дотации на выравнивание бюджетной обеспеченности муниципальных районов (городских округов) распределяются между муниципальными районами (городскими округами), уровень бюджетной обеспеченности которых не превышает уровень, установленный в качестве критерия выравнивания расчетной бюджетной обеспеченности муниципальных районов (городских округов).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2. Общий объем дотаций на выравнивание бюджетной обеспеченности муниципальных районов (городских округов) (Д)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25"/>
          <w:sz w:val="28"/>
          <w:szCs w:val="28"/>
          <w:lang w:eastAsia="ru-RU"/>
        </w:rPr>
        <w:drawing>
          <wp:inline distT="0" distB="0" distL="0" distR="0" wp14:anchorId="04784544" wp14:editId="1505EBF7">
            <wp:extent cx="2423160" cy="5029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зам)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3. Объем дотации на выравнивание бюджетной обеспеченности, предоставляемой бюджету муниципального района (городского округа),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(w x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 - Д(зам)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2F1B2C" w:rsidRDefault="002F1B2C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объем дотации на выравнивание бюджетной обеспеченности, предоставляемой бюджету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w - доля расчетного объема дотаций на выравнивание бюджетной обеспеченности муниципальных районов (городских округов), подлежащая распределению между муниципальными образованиями в очередном финансовом году и первом году планового периода (при этом w = 1 для очередного финансового года и w = 0,8 для первого года и второго года планового периода);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6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зам)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4. Дополнительный норматив отчислений от налога на доходы физических лиц в бюджет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38"/>
          <w:sz w:val="28"/>
          <w:szCs w:val="28"/>
          <w:lang w:eastAsia="ru-RU"/>
        </w:rPr>
        <w:lastRenderedPageBreak/>
        <w:drawing>
          <wp:inline distT="0" distB="0" distL="0" distR="0" wp14:anchorId="1F3A274B" wp14:editId="15022371">
            <wp:extent cx="2080260" cy="662940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r w:rsidRPr="002F1B2C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0E166C90" wp14:editId="0D4F80DF">
            <wp:extent cx="586740" cy="350520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дополнительный норматив отчислений от налога на доходы физических лиц в бюджет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зам)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3E0F9319" wp14:editId="768B06BD">
            <wp:extent cx="746760" cy="3505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прогноз поступлений по налогу на доходы физических лиц в консолидированный бюджет Ленинградской области с территории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в очередном финансовом году и плановом периоде.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5. Нераспределенный объем дотаций на выравнивание бюджетной обеспеченности муниципальных районов (городских округов) (ДН)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0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24"/>
          <w:sz w:val="28"/>
          <w:szCs w:val="28"/>
          <w:lang w:eastAsia="ru-RU"/>
        </w:rPr>
        <w:drawing>
          <wp:inline distT="0" distB="0" distL="0" distR="0" wp14:anchorId="4E8E66A3" wp14:editId="48045D4C">
            <wp:extent cx="2331720" cy="495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2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w - доля расчетного объема дотаций на выравнивание бюджетной обеспеченности муниципальных районов (городских округов), подлежащая распределению между муниципальными образованиями в очередном финансовом году и первом году планового периода (при этом w = 1 для очередного финансового года и w = 0,8 для первого года и второго года планового периода).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При отсутствии случаев, указанных в </w:t>
      </w:r>
      <w:hyperlink r:id="rId13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 статьи 138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расчетный объем средств, необходимых для доведения расчетной бюджетной обеспеченности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округов), если КВБО &gt;=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32"/>
          <w:sz w:val="28"/>
          <w:szCs w:val="28"/>
          <w:lang w:eastAsia="ru-RU"/>
        </w:rPr>
        <w:drawing>
          <wp:inline distT="0" distB="0" distL="0" distR="0" wp14:anchorId="6A7BFD88" wp14:editId="31BA2AD7">
            <wp:extent cx="4587240" cy="5867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B2C" w:rsidRDefault="002F1B2C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средств, необходимых для доведения расчетной бюджетной обеспеченности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до 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уровня, принятого в качестве критерия выравнивания расчетной бюджетной обеспеченности муниципальных районов (городских округов);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ПН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 - прогнозируемый объем налоговых доходов бюджетов муниципальных районов (городских округов) в очередном финансовом году;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5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КВБО - критерий выравнивания расчетной бюджетной обеспеченности муниципальных районов (городских округов);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расчетная бюджетная обеспеченность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иных случаях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При отсутствии случаев, указанных в </w:t>
      </w:r>
      <w:hyperlink r:id="rId16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 статьи 138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расчетный объем дотации на выравнивание бюджетной обеспеченности для муниципального района (городского округа), если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&lt;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Д(мин)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минимальный объем дотации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определенный с учетом требований </w:t>
      </w:r>
      <w:hyperlink r:id="rId17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7 статьи 138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средств, необходимых для доведения расчетной бюджетной обеспеченности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Прирост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может превышать 10 процентов по отношению к уровню текущего финансового года.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(абзац введен Областным </w:t>
      </w:r>
      <w:hyperlink r:id="rId18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При отсутствии случаев, указанных в </w:t>
      </w:r>
      <w:hyperlink r:id="rId19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 статьи 138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минимальный объем дотации на выравнивание бюджетной обеспеченности муниципального района (городского округа) на очередной финансовый год и первый год планового периода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Д1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Д2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минимальный объем дотации на выравнивание бюджетной обеспеченности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финансовый год и первый год планового периода, определенный с учетом требований </w:t>
      </w:r>
      <w:hyperlink r:id="rId20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7 статьи 138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Д1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объем дотации на выравнивание бюджетной обеспеченности, предоставляемой бюджету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Д2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расчетный объем дотации (часть расчетного объема дотации) на выравнивание бюджетной обеспеченности, замененной дополнительным нормативом отчислений от налога на доходы физических лиц,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округа).</w:t>
      </w:r>
      <w:proofErr w:type="gramEnd"/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иных случаях 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9. Уровень критерия выравнивания расчетной бюджетной обеспеченности муниципальных районов (городских округов) утверждается областным законом об областном бюджете на очередной финансовый год и на плановый период в размере не ниже 1,4.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10. Расчетная бюджетная обеспеченность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38"/>
          <w:sz w:val="28"/>
          <w:szCs w:val="28"/>
          <w:lang w:eastAsia="ru-RU"/>
        </w:rPr>
        <w:drawing>
          <wp:inline distT="0" distB="0" distL="0" distR="0" wp14:anchorId="4E0A4B2D" wp14:editId="7BF2EBB7">
            <wp:extent cx="1257300" cy="6629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расчетная бюджетная обеспеченность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ИНП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налогового потенциала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округа).</w:t>
      </w:r>
    </w:p>
    <w:p w:rsidR="00E90DB1" w:rsidRPr="002F1B2C" w:rsidRDefault="00E90DB1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11. Индекс налогового потенциала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40"/>
          <w:sz w:val="28"/>
          <w:szCs w:val="28"/>
          <w:lang w:eastAsia="ru-RU"/>
        </w:rPr>
        <w:drawing>
          <wp:inline distT="0" distB="0" distL="0" distR="0" wp14:anchorId="3149BAAD" wp14:editId="748B479A">
            <wp:extent cx="3307080" cy="69342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0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ИНП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налогового потенциала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П(</w:t>
      </w:r>
      <w:proofErr w:type="spellStart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налоговый потенциал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определяемый в соответствии с методикой согласно </w:t>
      </w:r>
      <w:hyperlink r:id="rId23" w:history="1">
        <w:r w:rsidRPr="002F1B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приложению 3</w:t>
        </w:r>
      </w:hyperlink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12. Индекс бюджетных расходов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23"/>
          <w:sz w:val="28"/>
          <w:szCs w:val="28"/>
          <w:lang w:eastAsia="ru-RU"/>
        </w:rPr>
        <w:drawing>
          <wp:inline distT="0" distB="0" distL="0" distR="0" wp14:anchorId="1E46C719" wp14:editId="1C50D024">
            <wp:extent cx="2110740" cy="4800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jk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по k-й группе расходов репрезентативной системы расходов бюджетов муниципальных районов (городских округов);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k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условная доля k-й группы расходов репрезентативной системы расходов бюджетов муниципальных районов (городских округов), устанавливаемой правовым актом финансового органа Ленинградской области.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13. Индекс бюджетных расходов муниципального района (городского округа) по отдельной группе расходов репрезентативной системы расходов бюджетов муниципальных районов (городских округов)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5C65">
        <w:rPr>
          <w:rFonts w:ascii="Times New Roman" w:hAnsi="Times New Roman" w:cs="Times New Roman"/>
          <w:noProof/>
          <w:color w:val="000000" w:themeColor="text1"/>
          <w:position w:val="-37"/>
          <w:sz w:val="24"/>
          <w:szCs w:val="24"/>
          <w:lang w:eastAsia="ru-RU"/>
        </w:rPr>
        <w:drawing>
          <wp:inline distT="0" distB="0" distL="0" distR="0" wp14:anchorId="6F390370" wp14:editId="7945CC41">
            <wp:extent cx="3589020" cy="655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jk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по k-й группе расходов репрезентативной системы расходов бюджетов муниципальных районов (городских округов);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jk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значение показателя, характеризующего численность потребителей по k-й группе расходов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jl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значение l-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корректирующего коэффициента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14. В целях определения индексов бюджетных расходов муниципальных районов (городских округов) используются показатели, характеризующие численность потребителей, и корректирующие коэффициенты, приведенные в следующей таблице: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5"/>
        <w:gridCol w:w="6138"/>
        <w:gridCol w:w="1726"/>
        <w:gridCol w:w="1790"/>
      </w:tblGrid>
      <w:tr w:rsidR="003F0813" w:rsidRPr="002F1B2C" w:rsidTr="00E90DB1">
        <w:trPr>
          <w:trHeight w:val="14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2F1B2C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3F0813"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3F0813"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="003F0813"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Показатель, характеризующий число потребителей (</w:t>
            </w:r>
            <w:proofErr w:type="spellStart"/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Start"/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proofErr w:type="spellEnd"/>
            <w:proofErr w:type="gramEnd"/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Корректирующий коэффициент (К</w:t>
            </w:r>
            <w:proofErr w:type="gramStart"/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proofErr w:type="gramEnd"/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F0813" w:rsidRPr="002F1B2C" w:rsidTr="00E90DB1">
        <w:trPr>
          <w:trHeight w:val="14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F0813" w:rsidRPr="002F1B2C" w:rsidTr="00E90DB1">
        <w:trPr>
          <w:trHeight w:val="14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Организация предоставления общедоступного и бесплатного дошкольного образования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создание условий для осуществления присмотра и ухода за детьми, содержания детей в муниципальных образовательных организациях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Численность </w:t>
            </w: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детей в возрасте от 1 до 6 лет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Коэффициент </w:t>
            </w: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удорожания</w:t>
            </w:r>
          </w:p>
        </w:tc>
      </w:tr>
      <w:tr w:rsidR="003F0813" w:rsidRPr="002F1B2C" w:rsidTr="002F1B2C">
        <w:trPr>
          <w:trHeight w:val="14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образование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предоставления общедоступного и бесплатного основного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Численность детей в возрасте от 5 до 18 лет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 удорожания</w:t>
            </w:r>
          </w:p>
        </w:tc>
      </w:tr>
      <w:tr w:rsidR="003F0813" w:rsidRPr="002F1B2C" w:rsidTr="002F1B2C">
        <w:trPr>
          <w:trHeight w:val="14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Национальная экономика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предоставления транспортных услуг населению и организация транспортного обслуживания населения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обеспечения населения услугами связи, общественного питания, торговли и бытового обслуживания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благоустройства территории муниципального образования, а также использования, охраны, защиты, воспроизводства лесов, лесов особо охраняемых природных территорий, расположенных в границах муниципального образования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полномочий собственника 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муниципального лесного контроля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Осуществление муниципального земельного контроля, организация выполнения комплексных кадастровых работ и утверждение карты-плана территории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мероприятий по охране окружающей среды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Средняя численность населения за три отчетных года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 удорожания, коэффициент плотности</w:t>
            </w:r>
          </w:p>
        </w:tc>
      </w:tr>
      <w:tr w:rsidR="003F0813" w:rsidRPr="002F1B2C" w:rsidTr="002F1B2C">
        <w:trPr>
          <w:trHeight w:val="14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управление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Составление и рассмотрение проекта бюджета муниципального образования, утверждение и исполнение бюджета муниципального образования, осуществление </w:t>
            </w:r>
            <w:proofErr w:type="gramStart"/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контроля за</w:t>
            </w:r>
            <w:proofErr w:type="gramEnd"/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его исполнением, составление и утверждение отчета об исполнении бюджета муниципального образования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Установление, изменение и отмена местных налогов и сборов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мер по противодействию коррупции</w:t>
            </w:r>
          </w:p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Полномочия органов местного самоуправления по решению вопросов местного значения, предусмотренные </w:t>
            </w:r>
            <w:hyperlink r:id="rId26" w:history="1">
              <w:r w:rsidRPr="002F1B2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17</w:t>
              </w:r>
            </w:hyperlink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численность населения за три отчетных года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 удорожания, коэффициент масштаба</w:t>
            </w:r>
          </w:p>
        </w:tc>
      </w:tr>
      <w:tr w:rsidR="003F0813" w:rsidRPr="002F1B2C" w:rsidTr="00E90DB1">
        <w:trPr>
          <w:trHeight w:val="14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Остальные расходы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численность населения за три отчетных года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2F1B2C" w:rsidRDefault="003F0813" w:rsidP="00E90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 удорожания</w:t>
            </w:r>
          </w:p>
        </w:tc>
      </w:tr>
    </w:tbl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15. Коэффициент удорожания для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k(уд)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proofErr w:type="spellStart"/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РС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 k(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рс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КУ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 k(ку)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ПР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4D5C65" w:rsidRDefault="004D5C65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где k(уд)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удорожания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РС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КУ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ПР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условные доли оплаты труда, коммунальных услуг и прочих расходов в стоимости оказания муниципальных услуг, выполнения работ (при этом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РС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0,5;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КУ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0,1;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ПР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0,4);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k(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рс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труда (рабочей силы)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k(ку)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коммунальных услуг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16. Коэффициент различий в стоимости труда (рабочей силы) для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32"/>
          <w:sz w:val="28"/>
          <w:szCs w:val="28"/>
          <w:lang w:eastAsia="ru-RU"/>
        </w:rPr>
        <w:drawing>
          <wp:inline distT="0" distB="0" distL="0" distR="0" wp14:anchorId="1AA359AF" wp14:editId="07B43CF5">
            <wp:extent cx="2240280" cy="586740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где k(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рс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труда (рабочей силы)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СЗП</w:t>
      </w: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среднемесячная начисленная заработная плата работников организаций по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муниципальному району (городскому округу) в отчетном году;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СЗП - средняя по Ленинградской области среднемесячная начисленная заработная плата работников организаций в отчетном году.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17. Коэффициент различий в стоимости коммунальных услуг для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2F1B2C">
        <w:rPr>
          <w:rFonts w:ascii="Times New Roman" w:hAnsi="Times New Roman" w:cs="Times New Roman"/>
          <w:noProof/>
          <w:color w:val="000000" w:themeColor="text1"/>
          <w:position w:val="-33"/>
          <w:sz w:val="28"/>
          <w:szCs w:val="28"/>
          <w:lang w:eastAsia="ru-RU"/>
        </w:rPr>
        <w:drawing>
          <wp:inline distT="0" distB="0" distL="0" distR="0" wp14:anchorId="28934731" wp14:editId="351EE184">
            <wp:extent cx="3764280" cy="609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где k(ку)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коммунальных услуг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ТП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условные доли расходов на оплату теплоснабжения, водоснабжения и водоотведения в общем объеме расходов на указанные коммунальные услуги в среднем по муниципальным районам (городским округам) Ленинградской области (при этом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ТП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0,88;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ВС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0,05; 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0,07);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7CBE6010" wp14:editId="2E784139">
            <wp:extent cx="373380" cy="3505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тариф на тепловую энергию (мощность) для муниципальных учреждений, рекомендуемый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ТП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средний прогнозный тариф на тепловую энергию (мощность) для муниципальных учреждений Ленинградской области на очередной финансовый год (данные комитета по тарифам и ценовой политике Ленинградской области);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566AE17A" wp14:editId="5D58E0E2">
            <wp:extent cx="373380" cy="3505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тариф на питьевую воду (питьевое водоснабжение) для муниципальных учреждений, рекомендуемый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ВС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средний прогнозный тариф на питьевую воду (питьевое водоснабжение) для муниципальных учреждений Ленинградской области на очередной финансовый год (данные комитета по тарифам и ценовой политике Ленинградской области);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35B81698" wp14:editId="72478C8C">
            <wp:extent cx="373380" cy="350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тариф на водоотведение для муниципальных учреждений, рекомендуемый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ВО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средний прогнозный тариф на водоотведение для муниципальных учреждений Ленинградской области на очередной финансовый год (данные комитета по тарифам и ценовой политике Ленинградской области).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18. Коэффициент плотности для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noProof/>
          <w:color w:val="000000" w:themeColor="text1"/>
          <w:position w:val="-37"/>
          <w:sz w:val="28"/>
          <w:szCs w:val="28"/>
          <w:lang w:eastAsia="ru-RU"/>
        </w:rPr>
        <w:drawing>
          <wp:inline distT="0" distB="0" distL="0" distR="0" wp14:anchorId="3DE7D411" wp14:editId="01BF57BD">
            <wp:extent cx="289560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где k(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пт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плотности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площадь территории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S - площадь территории Ленинградской области;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19. Коэффициент масштаба для муниципального района (городского округа)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B2C">
        <w:rPr>
          <w:rFonts w:ascii="Times New Roman" w:hAnsi="Times New Roman" w:cs="Times New Roman"/>
          <w:noProof/>
          <w:position w:val="-35"/>
          <w:sz w:val="28"/>
          <w:szCs w:val="28"/>
          <w:lang w:eastAsia="ru-RU"/>
        </w:rPr>
        <w:drawing>
          <wp:inline distT="0" distB="0" distL="0" distR="0" wp14:anchorId="24958CAF" wp14:editId="1842D0B3">
            <wp:extent cx="2987040" cy="624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где k(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мш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масштаба для j-</w:t>
      </w:r>
      <w:proofErr w:type="spell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sz w:val="28"/>
          <w:szCs w:val="28"/>
        </w:rPr>
        <w:t>сред)</w:t>
      </w:r>
      <w:r w:rsidRPr="002F1B2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2F1B2C">
        <w:rPr>
          <w:rFonts w:ascii="Times New Roman" w:hAnsi="Times New Roman" w:cs="Times New Roman"/>
          <w:sz w:val="28"/>
          <w:szCs w:val="28"/>
        </w:rPr>
        <w:t xml:space="preserve"> - средняя численность населения j-</w:t>
      </w:r>
      <w:proofErr w:type="spellStart"/>
      <w:r w:rsidRPr="002F1B2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F1B2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за три отчетных года.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2C">
        <w:rPr>
          <w:rFonts w:ascii="Times New Roman" w:hAnsi="Times New Roman" w:cs="Times New Roman"/>
          <w:sz w:val="28"/>
          <w:szCs w:val="28"/>
        </w:rPr>
        <w:t>20. Средняя численность населения Ленинградской области либо муниципального района (городского округа) за три отчетных года определяется по формуле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F1B2C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sz w:val="28"/>
          <w:szCs w:val="28"/>
        </w:rPr>
        <w:t>сред) = (Н1 + Н2 + Н3) / 3,</w:t>
      </w:r>
    </w:p>
    <w:p w:rsidR="002F1B2C" w:rsidRDefault="002F1B2C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2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2F1B2C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2F1B2C">
        <w:rPr>
          <w:rFonts w:ascii="Times New Roman" w:hAnsi="Times New Roman" w:cs="Times New Roman"/>
          <w:sz w:val="28"/>
          <w:szCs w:val="28"/>
        </w:rPr>
        <w:t>сред) - средняя численность населения Ленинградской области либо муниципального района (городского округа) за три отчетных года;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2C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2F1B2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2F1B2C">
        <w:rPr>
          <w:rFonts w:ascii="Times New Roman" w:hAnsi="Times New Roman" w:cs="Times New Roman"/>
          <w:sz w:val="28"/>
          <w:szCs w:val="28"/>
        </w:rPr>
        <w:t xml:space="preserve"> - численность населения Ленинградской области либо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3F0813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2C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2F1B2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2F1B2C">
        <w:rPr>
          <w:rFonts w:ascii="Times New Roman" w:hAnsi="Times New Roman" w:cs="Times New Roman"/>
          <w:sz w:val="28"/>
          <w:szCs w:val="28"/>
        </w:rPr>
        <w:t xml:space="preserve"> - численность населения Ленинградской области либо муниципального района (городского округа) на начало отчетного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A3030E" w:rsidRPr="002F1B2C" w:rsidRDefault="003F0813" w:rsidP="00E90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F1B2C">
        <w:rPr>
          <w:rFonts w:ascii="Times New Roman" w:hAnsi="Times New Roman" w:cs="Times New Roman"/>
          <w:sz w:val="28"/>
          <w:szCs w:val="28"/>
        </w:rPr>
        <w:t>Н3 - численность населения Ленинградской области либо муниципального района (городского округа) на начало года, предшествующего отчетному финансовому году, по данным территориального органа Федеральной службы государственной статистики по г. Санкт-Петербургу и Ленинградской области.</w:t>
      </w:r>
    </w:p>
    <w:sectPr w:rsidR="00A3030E" w:rsidRPr="002F1B2C" w:rsidSect="00E90DB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813"/>
    <w:rsid w:val="00202629"/>
    <w:rsid w:val="002F1B2C"/>
    <w:rsid w:val="003F0813"/>
    <w:rsid w:val="004D5C65"/>
    <w:rsid w:val="00A3030E"/>
    <w:rsid w:val="00E9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8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5C6FD0B49D0F91BFB19434AF8AB4DA439F3A7C1213A7DDBF4DD90818E16B9E26D3D3D93C14A6CDD2360D84F73040B83FE8B1BCC0CD4H9P0M" TargetMode="External"/><Relationship Id="rId18" Type="http://schemas.openxmlformats.org/officeDocument/2006/relationships/hyperlink" Target="consultantplus://offline/ref=55C6FD0B49D0F91BFB195C5BEDAB4DA43FF7A1C6203B7DDBF4DD90818E16B9E26D3D3D97C64A6ED4733AC84B3A50039CFB9205C912D49274H7PAM" TargetMode="External"/><Relationship Id="rId26" Type="http://schemas.openxmlformats.org/officeDocument/2006/relationships/hyperlink" Target="consultantplus://offline/ref=55C6FD0B49D0F91BFB19434AF8AB4DA439F2A2CA223F7DDBF4DD90818E16B9E26D3D3D97C64A6FDF713AC84B3A50039CFB9205C912D49274H7PA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34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hyperlink" Target="consultantplus://offline/ref=55C6FD0B49D0F91BFB195C5BEDAB4DA43FF1AFC526357DDBF4DD90818E16B9E26D3D3D97C64A6ED4703AC84B3A50039CFB9205C912D49274H7PAM" TargetMode="External"/><Relationship Id="rId17" Type="http://schemas.openxmlformats.org/officeDocument/2006/relationships/hyperlink" Target="consultantplus://offline/ref=55C6FD0B49D0F91BFB19434AF8AB4DA439F3A7C1213A7DDBF4DD90818E16B9E26D3D3D93C14A6CDD2360D84F73040B83FE8B1BCC0CD4H9P0M" TargetMode="External"/><Relationship Id="rId25" Type="http://schemas.openxmlformats.org/officeDocument/2006/relationships/image" Target="media/image10.wmf"/><Relationship Id="rId33" Type="http://schemas.openxmlformats.org/officeDocument/2006/relationships/image" Target="media/image17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5C6FD0B49D0F91BFB19434AF8AB4DA439F3A7C1213A7DDBF4DD90818E16B9E26D3D3D93C14A6CDD2360D84F73040B83FE8B1BCC0CD4H9P0M" TargetMode="External"/><Relationship Id="rId20" Type="http://schemas.openxmlformats.org/officeDocument/2006/relationships/hyperlink" Target="consultantplus://offline/ref=55C6FD0B49D0F91BFB19434AF8AB4DA439F3A7C1213A7DDBF4DD90818E16B9E26D3D3D90C54D6EDD2360D84F73040B83FE8B1BCC0CD4H9P0M" TargetMode="External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55C6FD0B49D0F91BFB195C5BEDAB4DA43FF1AFC526357DDBF4DD90818E16B9E26D3D3D97C64A6ED4763AC84B3A50039CFB9205C912D49274H7PAM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9.wmf"/><Relationship Id="rId32" Type="http://schemas.openxmlformats.org/officeDocument/2006/relationships/image" Target="media/image16.wmf"/><Relationship Id="rId5" Type="http://schemas.openxmlformats.org/officeDocument/2006/relationships/image" Target="media/image1.wmf"/><Relationship Id="rId15" Type="http://schemas.openxmlformats.org/officeDocument/2006/relationships/hyperlink" Target="consultantplus://offline/ref=55C6FD0B49D0F91BFB195C5BEDAB4DA43FF7A1C6203B7DDBF4DD90818E16B9E26D3D3D97C64A6ED4743AC84B3A50039CFB9205C912D49274H7PAM" TargetMode="External"/><Relationship Id="rId23" Type="http://schemas.openxmlformats.org/officeDocument/2006/relationships/hyperlink" Target="consultantplus://offline/ref=55C6FD0B49D0F91BFB195C5BEDAB4DA43FF7A1C7223E7DDBF4DD90818E16B9E26D3D3D97C64A6DD5773AC84B3A50039CFB9205C912D49274H7PAM" TargetMode="External"/><Relationship Id="rId28" Type="http://schemas.openxmlformats.org/officeDocument/2006/relationships/image" Target="media/image12.wmf"/><Relationship Id="rId10" Type="http://schemas.openxmlformats.org/officeDocument/2006/relationships/hyperlink" Target="consultantplus://offline/ref=55C6FD0B49D0F91BFB195C5BEDAB4DA43FF1AFC526357DDBF4DD90818E16B9E26D3D3D97C64A6ED4743AC84B3A50039CFB9205C912D49274H7PAM" TargetMode="External"/><Relationship Id="rId19" Type="http://schemas.openxmlformats.org/officeDocument/2006/relationships/hyperlink" Target="consultantplus://offline/ref=55C6FD0B49D0F91BFB19434AF8AB4DA439F3A7C1213A7DDBF4DD90818E16B9E26D3D3D90C54D6EDD2360D84F73040B83FE8B1BCC0CD4H9P0M" TargetMode="External"/><Relationship Id="rId31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6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image" Target="media/image14.wmf"/><Relationship Id="rId35" Type="http://schemas.openxmlformats.org/officeDocument/2006/relationships/theme" Target="theme/theme1.xml"/><Relationship Id="rId8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3116</Words>
  <Characters>17764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Старостина Рузанна Левоновна</cp:lastModifiedBy>
  <cp:revision>4</cp:revision>
  <dcterms:created xsi:type="dcterms:W3CDTF">2023-07-13T13:06:00Z</dcterms:created>
  <dcterms:modified xsi:type="dcterms:W3CDTF">2023-08-09T12:14:00Z</dcterms:modified>
</cp:coreProperties>
</file>