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06B" w:rsidRDefault="00BE106B" w:rsidP="00BE106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Приложение 7</w:t>
      </w:r>
    </w:p>
    <w:p w:rsidR="00EA2278" w:rsidRDefault="00EA2278" w:rsidP="00BE106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 государственной программе </w:t>
      </w:r>
    </w:p>
    <w:p w:rsidR="00BE106B" w:rsidRDefault="00EA2278" w:rsidP="00BE106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14.11.2013 № 401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EA2278" w:rsidRDefault="00EA2278" w:rsidP="00EA227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BE106B" w:rsidRDefault="00BE106B" w:rsidP="00EA227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ПОРЯДОК</w:t>
      </w:r>
    </w:p>
    <w:p w:rsidR="00BE106B" w:rsidRDefault="00BE106B" w:rsidP="00EA227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ПРЕДОСТАВЛЕНИЯ И РАСПРЕДЕЛЕНИЯ СУБСИДИЙ ИЗ ОБЛАСТНОГО</w:t>
      </w:r>
    </w:p>
    <w:p w:rsidR="00BE106B" w:rsidRDefault="00BE106B" w:rsidP="00EA227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БЮДЖЕТА ЛЕНИНГРАДСКОЙ ОБЛАСТИ БЮДЖЕТАМ МУНИЦИПАЛЬНЫХ</w:t>
      </w:r>
    </w:p>
    <w:p w:rsidR="00BE106B" w:rsidRDefault="00BE106B" w:rsidP="00EA227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ОБРАЗОВАНИЙ НА КАПИТАЛЬНЫЙ РЕМОНТ ОБЪЕКТОВ</w:t>
      </w:r>
    </w:p>
    <w:p w:rsidR="00BE106B" w:rsidRDefault="00BE106B" w:rsidP="00EA2278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ФИЗИЧЕСКОЙ КУЛЬТУРЫ И СПОРТА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Общие положения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1.1. Настоящий Порядок определяет цели, результаты, условия предоставления, методику распределения, способ определения сроков перечисления субсидий из областного бюджета Ленинградской области (далее - областной бюджет) бюджетам муниципальных образований Ленинградской области (далее - муниципальные образования) на капитальный ремонт объектов физической культуры и спорта в рамках государственной программы Ленинградской области "Развитие физической культуры и спорта в Ленинградской области" (далее - субсидии), а также порядок отбора муниципальных образований для предоставления субсидий, основания и порядок применения мер финансовой ответственности к муниципальному образованию при невыполнении им условий соглашения о предоставлении субсидии.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Цели, результаты, условия предоставления субсидий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2.1. Субсидии предоставляются на софинансирование расходных обязательств, возникающих при выполнении полномочий органов местного самоуправления по решению вопросов местного значения в части обеспечения условий для развития на территории муниципального образования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2.2. Предоставление субсидий осуществляется в соответствии со сводной бюджетной росписью областного бюджета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физической культуре и спорту Ленинградской области (далее - комитет).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2.3. Субсидии предоставляются в целях проведения капитального ремонта объектов физической культуры и спорта.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2.4. Мероприятия по капитальному ремонту объектов физической культуры и спорта осуществляются муниципальными образованиями в установленном законодательством Российской Федерации порядке.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2.5. Результатами использования субсидии являются: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количество объектов физической культуры и спорта, в которых проведен капитальный ремонт, ед.;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доля сметной стоимости выполненных в течение года работ в общей сметной стоимости работ, проц.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Значения результатов использования субсидии определяются в соответствии с заявками 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Заключение соглашений о предоставлении субсидий осуществляется в срок до 15 февраля года предоставления субсидий.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24"/>
      <w:bookmarkEnd w:id="1"/>
      <w:r>
        <w:rPr>
          <w:rFonts w:ascii="Arial" w:hAnsi="Arial" w:cs="Arial"/>
          <w:sz w:val="20"/>
          <w:szCs w:val="20"/>
        </w:rPr>
        <w:t xml:space="preserve">2.6. Условия предоставления субсидий устанавливаются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пунктом 2.7</w:t>
        </w:r>
      </w:hyperlink>
      <w:r>
        <w:rPr>
          <w:rFonts w:ascii="Arial" w:hAnsi="Arial" w:cs="Arial"/>
          <w:sz w:val="20"/>
          <w:szCs w:val="20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Порядок и критерии отбора муниципальных образований</w:t>
      </w:r>
    </w:p>
    <w:p w:rsidR="00BE106B" w:rsidRDefault="00BE106B" w:rsidP="00BE106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предоставления субсидии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29"/>
      <w:bookmarkEnd w:id="2"/>
      <w:r>
        <w:rPr>
          <w:rFonts w:ascii="Arial" w:hAnsi="Arial" w:cs="Arial"/>
          <w:sz w:val="20"/>
          <w:szCs w:val="20"/>
        </w:rPr>
        <w:t>3.1. Распределение субсидий между муниципальными образованиями осуществляется на конкурсной основе. Отбор муниципальных образований для предоставления субсидии осуществляется на основе оценки заявок, поданных муниципальными образованиями.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3" w:name="Par30"/>
      <w:bookmarkEnd w:id="3"/>
      <w:r>
        <w:rPr>
          <w:rFonts w:ascii="Arial" w:hAnsi="Arial" w:cs="Arial"/>
          <w:sz w:val="20"/>
          <w:szCs w:val="20"/>
        </w:rPr>
        <w:t>3.2. Критерием, которому должно соответствовать муниципальное образование для допуска к оценке заявок (участию в отборе) муниципальных образований, является наличие на территории муниципального образования объекта физической культуры и спорта, требующего проведения капитального ремонта (кроме спортивных объектов, находящихся в ведении общеобразовательных учреждений). Муниципальные образования, не соответствующие указанному критерию, к оценке заявок не допускаются.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3.3. Отбор муниципальных образований осуществляется комиссией по проведению конкурсного отбора муниципальных образований для предоставления субсидии (далее - конкурсная комиссия). Положение о конкурсной комиссии, состав конкурсной комиссии, форма заявки и способ ее подачи устанавливаются правовым актом комитета.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" w:name="Par32"/>
      <w:bookmarkEnd w:id="4"/>
      <w:r>
        <w:rPr>
          <w:rFonts w:ascii="Arial" w:hAnsi="Arial" w:cs="Arial"/>
          <w:sz w:val="20"/>
          <w:szCs w:val="20"/>
        </w:rPr>
        <w:t>3.4. Комитет не менее чем за три рабочих дня до даты размещения информации в информационно-телекоммуникационной сети "Интернет" (далее - сеть "Интернет") уведомляет в письменной форме администрации муниципальных образований о дате размещения в сети "Интернет" сведений о начале приема заявок для участия в конкурсном отборе (далее - заявки).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Прием заявок начинается со дня размещения на официальном сайте комитета в сети "Интернет" (http://sport.lenobl.ru/) объявления о проведении конкурсного отбора муниципальных образований, содержащего информацию о способе и форме подачи заявки. Срок приема заявок составляет 14 рабочих дней со дня размещения объявления.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" w:name="Par34"/>
      <w:bookmarkEnd w:id="5"/>
      <w:r>
        <w:rPr>
          <w:rFonts w:ascii="Arial" w:hAnsi="Arial" w:cs="Arial"/>
          <w:sz w:val="20"/>
          <w:szCs w:val="20"/>
        </w:rPr>
        <w:t>3.5. Для участия в отборе на получение субсидии муниципальные образования в установленный срок представляют в комитет заявку от имени главы администрации муниципального образования о предоставлении субсидии в объеме, рассчитанном исходя из потребности в финансовых средствах по мероприятию муниципальной программы, с приложением следующих документов: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копии правоустанавливающих документов, паспортов (учетных карточек) по форме, утвержденной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приказом</w:t>
        </w:r>
      </w:hyperlink>
      <w:r>
        <w:rPr>
          <w:rFonts w:ascii="Arial" w:hAnsi="Arial" w:cs="Arial"/>
          <w:sz w:val="20"/>
          <w:szCs w:val="20"/>
        </w:rPr>
        <w:t xml:space="preserve"> государственного комитета Российской Федерации по физической культуре и туризму от 8 апреля 1996 года N 117 "О проведении паспортизации и единовременного учета спортивных сооружений", на планируемый к капитальному ремонту спортивный объект;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копия положительного заключения экспертизы о достоверности определения сметной стоимости на объект капитального ремонта;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копия муниципального правового акта, подтверждающего наличие в бюджете муниципального образования бюджетных ассигнований на исполнение обязательств, софинансируемых за счет субсидии, или гарантийное письмо администрации муниципального образования о софинансировании мероприятия по капитальному ремонту спортивного объекта в объеме, определенном в соответствии с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пунктом 6.4</w:t>
        </w:r>
      </w:hyperlink>
      <w:r>
        <w:rPr>
          <w:rFonts w:ascii="Arial" w:hAnsi="Arial" w:cs="Arial"/>
          <w:sz w:val="20"/>
          <w:szCs w:val="20"/>
        </w:rPr>
        <w:t xml:space="preserve"> Правил;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копия муниципальной программы, предусматривающей наличие мероприятий, соответствующих целям государственной программы Ленинградской области "Развитие физической культуры и спорта в Ленинградской области";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5) сведения об общем количестве спортивных объектов на территории муниципального образования, о количестве требующих капитального ремонта спортивных объектов и спортивных площадок.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Муниципальное образование несет ответственность за подлинность представленных в комитет документов.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6" w:name="Par41"/>
      <w:bookmarkEnd w:id="6"/>
      <w:r>
        <w:rPr>
          <w:rFonts w:ascii="Arial" w:hAnsi="Arial" w:cs="Arial"/>
          <w:sz w:val="20"/>
          <w:szCs w:val="20"/>
        </w:rPr>
        <w:t>3.6. Критерием оценки заявок является потребность в проведении в муниципальном образовании капитального ремонта спортивных объектов (далее - потребность в проведении капитального ремонта).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Потребность в проведении капитального ремонта в i-м муниципальном образовании определяется по следующей формуле: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position w:val="-23"/>
          <w:sz w:val="20"/>
          <w:szCs w:val="20"/>
          <w:lang w:eastAsia="ru-RU"/>
        </w:rPr>
        <w:drawing>
          <wp:inline distT="0" distB="0" distL="0" distR="0">
            <wp:extent cx="690880" cy="4267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где: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П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потребность в проведении капитального ремонта в i-м муниципальном образовании;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СК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количество требующих капитального ремонта спортивных объектов i-го муниципального образования;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СО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общее количество спортивных объектов i-го муниципального образования.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3.7. Победителями конкурсного отбора признаются муниципальные образования, заявки которых набрали наибольшее количество баллов.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Количество баллов (</w:t>
      </w:r>
      <w:proofErr w:type="spellStart"/>
      <w:r>
        <w:rPr>
          <w:rFonts w:ascii="Arial" w:hAnsi="Arial" w:cs="Arial"/>
          <w:sz w:val="20"/>
          <w:szCs w:val="20"/>
        </w:rPr>
        <w:t>Б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) рассчитывается по формуле: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Б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П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x 100.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Перечень спортивных объектов, в отношении которых принято решение о софинансировании работ по капитальному ремонту (далее - перечень спортивных объектов), формируется в порядке убывания количества набранных баллов. При этом объекты, набравшие одинаковое количество баллов, ранжируются по дате подачи заявки муниципальным образованием - </w:t>
      </w:r>
      <w:proofErr w:type="gramStart"/>
      <w:r>
        <w:rPr>
          <w:rFonts w:ascii="Arial" w:hAnsi="Arial" w:cs="Arial"/>
          <w:sz w:val="20"/>
          <w:szCs w:val="20"/>
        </w:rPr>
        <w:t>от</w:t>
      </w:r>
      <w:proofErr w:type="gramEnd"/>
      <w:r>
        <w:rPr>
          <w:rFonts w:ascii="Arial" w:hAnsi="Arial" w:cs="Arial"/>
          <w:sz w:val="20"/>
          <w:szCs w:val="20"/>
        </w:rPr>
        <w:t xml:space="preserve"> более ранней к более поздней.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7" w:name="Par57"/>
      <w:bookmarkEnd w:id="7"/>
      <w:r>
        <w:rPr>
          <w:rFonts w:ascii="Arial" w:hAnsi="Arial" w:cs="Arial"/>
          <w:sz w:val="20"/>
          <w:szCs w:val="20"/>
        </w:rPr>
        <w:t>3.8. Основаниями для отказа в предоставлении субсидии являются: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а) несоответствие муниципального образования критерию отбора, предусмотренному </w:t>
      </w:r>
      <w:hyperlink w:anchor="Par30" w:history="1">
        <w:r>
          <w:rPr>
            <w:rFonts w:ascii="Arial" w:hAnsi="Arial" w:cs="Arial"/>
            <w:color w:val="0000FF"/>
            <w:sz w:val="20"/>
            <w:szCs w:val="20"/>
          </w:rPr>
          <w:t>пунктом 3.2</w:t>
        </w:r>
      </w:hyperlink>
      <w:r>
        <w:rPr>
          <w:rFonts w:ascii="Arial" w:hAnsi="Arial" w:cs="Arial"/>
          <w:sz w:val="20"/>
          <w:szCs w:val="20"/>
        </w:rPr>
        <w:t xml:space="preserve"> настоящего Порядка;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б) несоблюдение условий предоставления субсидии, предусмотренных </w:t>
      </w:r>
      <w:hyperlink w:anchor="Par24" w:history="1">
        <w:r>
          <w:rPr>
            <w:rFonts w:ascii="Arial" w:hAnsi="Arial" w:cs="Arial"/>
            <w:color w:val="0000FF"/>
            <w:sz w:val="20"/>
            <w:szCs w:val="20"/>
          </w:rPr>
          <w:t>пунктом 2.6</w:t>
        </w:r>
      </w:hyperlink>
      <w:r>
        <w:rPr>
          <w:rFonts w:ascii="Arial" w:hAnsi="Arial" w:cs="Arial"/>
          <w:sz w:val="20"/>
          <w:szCs w:val="20"/>
        </w:rPr>
        <w:t xml:space="preserve"> настоящего Порядка;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в) представление документов за пределами срока, установленного </w:t>
      </w:r>
      <w:hyperlink w:anchor="Par32" w:history="1">
        <w:r>
          <w:rPr>
            <w:rFonts w:ascii="Arial" w:hAnsi="Arial" w:cs="Arial"/>
            <w:color w:val="0000FF"/>
            <w:sz w:val="20"/>
            <w:szCs w:val="20"/>
          </w:rPr>
          <w:t>пунктом 3.4</w:t>
        </w:r>
      </w:hyperlink>
      <w:r>
        <w:rPr>
          <w:rFonts w:ascii="Arial" w:hAnsi="Arial" w:cs="Arial"/>
          <w:sz w:val="20"/>
          <w:szCs w:val="20"/>
        </w:rPr>
        <w:t xml:space="preserve"> настоящего Порядка;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г) несоответствие заявки требованиям, установленным </w:t>
      </w:r>
      <w:hyperlink w:anchor="Par34" w:history="1">
        <w:r>
          <w:rPr>
            <w:rFonts w:ascii="Arial" w:hAnsi="Arial" w:cs="Arial"/>
            <w:color w:val="0000FF"/>
            <w:sz w:val="20"/>
            <w:szCs w:val="20"/>
          </w:rPr>
          <w:t>пунктом 3.5</w:t>
        </w:r>
      </w:hyperlink>
      <w:r>
        <w:rPr>
          <w:rFonts w:ascii="Arial" w:hAnsi="Arial" w:cs="Arial"/>
          <w:sz w:val="20"/>
          <w:szCs w:val="20"/>
        </w:rPr>
        <w:t xml:space="preserve"> настоящего Порядка, или непредставление (представление не в полном объеме) требуемых документов;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д) указание недостоверных сведений в документах, предусмотренных </w:t>
      </w:r>
      <w:hyperlink w:anchor="Par34" w:history="1">
        <w:r>
          <w:rPr>
            <w:rFonts w:ascii="Arial" w:hAnsi="Arial" w:cs="Arial"/>
            <w:color w:val="0000FF"/>
            <w:sz w:val="20"/>
            <w:szCs w:val="20"/>
          </w:rPr>
          <w:t>пунктом 3.5</w:t>
        </w:r>
      </w:hyperlink>
      <w:r>
        <w:rPr>
          <w:rFonts w:ascii="Arial" w:hAnsi="Arial" w:cs="Arial"/>
          <w:sz w:val="20"/>
          <w:szCs w:val="20"/>
        </w:rPr>
        <w:t xml:space="preserve"> настоящего Порядка.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3.9. Конкурсная комиссия в срок не более пяти рабочих дней оценивает заявки муниципальных образований в соответствии с </w:t>
      </w:r>
      <w:hyperlink w:anchor="Par41" w:history="1">
        <w:r>
          <w:rPr>
            <w:rFonts w:ascii="Arial" w:hAnsi="Arial" w:cs="Arial"/>
            <w:color w:val="0000FF"/>
            <w:sz w:val="20"/>
            <w:szCs w:val="20"/>
          </w:rPr>
          <w:t>пунктами 3.6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w:anchor="Par57" w:history="1">
        <w:r>
          <w:rPr>
            <w:rFonts w:ascii="Arial" w:hAnsi="Arial" w:cs="Arial"/>
            <w:color w:val="0000FF"/>
            <w:sz w:val="20"/>
            <w:szCs w:val="20"/>
          </w:rPr>
          <w:t>3.8</w:t>
        </w:r>
      </w:hyperlink>
      <w:r>
        <w:rPr>
          <w:rFonts w:ascii="Arial" w:hAnsi="Arial" w:cs="Arial"/>
          <w:sz w:val="20"/>
          <w:szCs w:val="20"/>
        </w:rPr>
        <w:t xml:space="preserve"> настоящего Порядка, а также определяет объем субсидии за счет средств областного бюджета бюджетам муниципальных образований.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Предложение конкурсной комиссии о победителях конкурсного отбора носит рекомендательный характер и оформляется протоколом не позднее трех рабочих дней </w:t>
      </w:r>
      <w:proofErr w:type="gramStart"/>
      <w:r>
        <w:rPr>
          <w:rFonts w:ascii="Arial" w:hAnsi="Arial" w:cs="Arial"/>
          <w:sz w:val="20"/>
          <w:szCs w:val="20"/>
        </w:rPr>
        <w:t>с даты проведения</w:t>
      </w:r>
      <w:proofErr w:type="gramEnd"/>
      <w:r>
        <w:rPr>
          <w:rFonts w:ascii="Arial" w:hAnsi="Arial" w:cs="Arial"/>
          <w:sz w:val="20"/>
          <w:szCs w:val="20"/>
        </w:rPr>
        <w:t xml:space="preserve"> заседания конкурсной комиссии.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3.10. Комитет не позднее трех рабочих дней со дня подписания протокола принимает правовой акт о предоставлении муниципальному образованию субсидий или об отказе в предоставлении субсидии муниципальному образованию.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3.11. Копия правового акта комитета направляется в адрес главы администрации муниципального образования в трехдневный срок со дня его принятия. В случае отклонения заявки муниципального образования указываются основания ее отклонения.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8" w:name="Par67"/>
      <w:bookmarkEnd w:id="8"/>
      <w:r>
        <w:rPr>
          <w:rFonts w:ascii="Arial" w:hAnsi="Arial" w:cs="Arial"/>
          <w:sz w:val="20"/>
          <w:szCs w:val="20"/>
        </w:rPr>
        <w:t xml:space="preserve">3.12. В течение 20 рабочих дней </w:t>
      </w:r>
      <w:proofErr w:type="gramStart"/>
      <w:r>
        <w:rPr>
          <w:rFonts w:ascii="Arial" w:hAnsi="Arial" w:cs="Arial"/>
          <w:sz w:val="20"/>
          <w:szCs w:val="20"/>
        </w:rPr>
        <w:t>с даты оформления</w:t>
      </w:r>
      <w:proofErr w:type="gramEnd"/>
      <w:r>
        <w:rPr>
          <w:rFonts w:ascii="Arial" w:hAnsi="Arial" w:cs="Arial"/>
          <w:sz w:val="20"/>
          <w:szCs w:val="20"/>
        </w:rPr>
        <w:t xml:space="preserve"> протокола конкурсной комиссии комитет разрабатывает проект нормативного правового акта Правительства Ленинградской области о перечне объектов капитального ремонта государственной программы и направляет его на согласование в установленном порядке.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3.13. Муниципальные образования - участники мероприятий, не вошедшие в перечень объектов муниципальных образований - получателей субсидий на очередной финансовый год, составляют резерв на </w:t>
      </w:r>
      <w:r>
        <w:rPr>
          <w:rFonts w:ascii="Arial" w:hAnsi="Arial" w:cs="Arial"/>
          <w:sz w:val="20"/>
          <w:szCs w:val="20"/>
        </w:rPr>
        <w:lastRenderedPageBreak/>
        <w:t xml:space="preserve">получение субсидии в случае высвобождения средств по каким-либо основаниям </w:t>
      </w:r>
      <w:proofErr w:type="gramStart"/>
      <w:r>
        <w:rPr>
          <w:rFonts w:ascii="Arial" w:hAnsi="Arial" w:cs="Arial"/>
          <w:sz w:val="20"/>
          <w:szCs w:val="20"/>
        </w:rPr>
        <w:t>и(</w:t>
      </w:r>
      <w:proofErr w:type="gramEnd"/>
      <w:r>
        <w:rPr>
          <w:rFonts w:ascii="Arial" w:hAnsi="Arial" w:cs="Arial"/>
          <w:sz w:val="20"/>
          <w:szCs w:val="20"/>
        </w:rPr>
        <w:t>или) в случае увеличения бюджетных ассигнований на текущий финансовый год.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3.14. </w:t>
      </w:r>
      <w:proofErr w:type="gramStart"/>
      <w:r>
        <w:rPr>
          <w:rFonts w:ascii="Arial" w:hAnsi="Arial" w:cs="Arial"/>
          <w:sz w:val="20"/>
          <w:szCs w:val="20"/>
        </w:rPr>
        <w:t>При увеличении объема бюджетных ассигнований областного бюджета на предоставление субсидий в течение двух месяцев с даты вступления в силу</w:t>
      </w:r>
      <w:proofErr w:type="gramEnd"/>
      <w:r>
        <w:rPr>
          <w:rFonts w:ascii="Arial" w:hAnsi="Arial" w:cs="Arial"/>
          <w:sz w:val="20"/>
          <w:szCs w:val="20"/>
        </w:rPr>
        <w:t xml:space="preserve"> областного закона об областном бюджете Ленинградской области проводится дополнительный отбор заявок муниципальных образований в соответствии с </w:t>
      </w:r>
      <w:hyperlink w:anchor="Par29" w:history="1">
        <w:r>
          <w:rPr>
            <w:rFonts w:ascii="Arial" w:hAnsi="Arial" w:cs="Arial"/>
            <w:color w:val="0000FF"/>
            <w:sz w:val="20"/>
            <w:szCs w:val="20"/>
          </w:rPr>
          <w:t>пунктами 3.1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w:anchor="Par67" w:history="1">
        <w:r>
          <w:rPr>
            <w:rFonts w:ascii="Arial" w:hAnsi="Arial" w:cs="Arial"/>
            <w:color w:val="0000FF"/>
            <w:sz w:val="20"/>
            <w:szCs w:val="20"/>
          </w:rPr>
          <w:t>3.12</w:t>
        </w:r>
      </w:hyperlink>
      <w:r>
        <w:rPr>
          <w:rFonts w:ascii="Arial" w:hAnsi="Arial" w:cs="Arial"/>
          <w:sz w:val="20"/>
          <w:szCs w:val="20"/>
        </w:rPr>
        <w:t xml:space="preserve"> настоящего Порядка.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Методика распределения субсидий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4.1. Распределение субсидии между муниципальными образованиями осуществляется исходя из заявок муниципальных образований, которым присвоены наивысшие рейтинговые номера, по формуле: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r>
        <w:rPr>
          <w:rFonts w:ascii="Arial" w:hAnsi="Arial" w:cs="Arial"/>
          <w:sz w:val="20"/>
          <w:szCs w:val="20"/>
        </w:rPr>
        <w:t>ЗС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x </w:t>
      </w:r>
      <w:proofErr w:type="spellStart"/>
      <w:r>
        <w:rPr>
          <w:rFonts w:ascii="Arial" w:hAnsi="Arial" w:cs="Arial"/>
          <w:sz w:val="20"/>
          <w:szCs w:val="20"/>
        </w:rPr>
        <w:t>УС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,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где: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С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объем субсидии бюджету i-го муниципального образования;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ЗС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плановый общий объем расходов на исполнение софинансируемых обязательств в соответствии с заявкой (заявками) i-го муниципального образования, отобранной (отобранными) для предоставления субсидии;</w:t>
      </w:r>
      <w:proofErr w:type="gramEnd"/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УС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предельный уровень софинансирования для i-го муниципального образования.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Предельный уровень софинансирования устанавливается ежегодно до 1 июля в разрезе муниципальных образований на очередной финансовый год и на плановый период распоряжением Правительства Ленинградской области.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4.2.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4.3. Распределение субсидий утверждается в пределах бюджетных ассигнований, предусмотренных в установленном порядке комитету на очередной финансовый год и на плановый период.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4.4. Допускается утверждение не распределенного между муниципальными образованиями объема субсидии в размере не более пяти процентов общего объема соответствующей субсидии, утвержденного на первый год планового периода, и не более 10 процентов общего объема соответствующей субсидии, утвержденного на второй год планового периода.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Утверждение не распределенного между муниципальными образованиями объема субсидии на очередной финансовый год не допускается.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 возникновении не распределенного между муниципальными образованиями объема субсидии, превышающего предельные значения, установленные настоящим пунктом,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4.5. Утвержденный для муниципального образования объем субсидии может быть пересмотрен: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а) при уточнении расчетного объема расходов, необходимого для достижения значения результатов использования субсидии;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б) при уточнении планового объема расходов на исполнение софинансируемых обязательств по итогам заключения муниципальных контрактов на поставку товаров, выполнение работ, оказание услуг;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в) при увеличении общего объема бюджетных ассигнований областного бюджета, предусмотренного для предоставления субсидии;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г) при распределении нераспределенного объема субсидии;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д) при отказе муниципального образования от заключения соглашения.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Порядок расходования субсидий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5.2. Сроки перечисления субсидий определяются исходя из потребности в оплате денежных обязательств по расходам муниципального образования, источником финансового обеспечения которых являются субсидии.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5.3. Перечисление межбюджетных субсидий осуществляется в пределах суммы, необходимой для оплаты денежных обязательств по расходам муниципального образования, источником финансового обеспечения которых являются эти межбюджетные субсидии.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5.4. Муниципальное образование представляет в комитет документы, подтверждающие потребность в осуществлении расходов.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5.5. Исчерпывающий перечень и формы документов, подтверждающих потребность в осуществлении расходов за счет средств субсидий, определяются соглашением. Соглашение заключается в соответствии с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пунктами 4.1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4.4</w:t>
        </w:r>
      </w:hyperlink>
      <w:r>
        <w:rPr>
          <w:rFonts w:ascii="Arial" w:hAnsi="Arial" w:cs="Arial"/>
          <w:sz w:val="20"/>
          <w:szCs w:val="20"/>
        </w:rPr>
        <w:t xml:space="preserve"> Правил.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5.6. Комитет в течение трех рабочих дней проверяет полноту и корректность представленных муниципальным образованием документов.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5.7. При отсутствии замечаний по представленным документам средства субсидий подлежат перечислению в сроки, установленные соглашением.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5.8. Субсидии, не использованные в текущем финансовом году, подлежат возврату в областной бюджет в порядке и сроки, установленные правовым актом Комитета финансов Ленинградской области.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5.9.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5.10.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sz w:val="20"/>
          <w:szCs w:val="20"/>
        </w:rPr>
        <w:t xml:space="preserve"> соблюдением целей, порядка и условий предоставления субсидий, а также за соблюдением условий соглашений и условий контрактов (договоров, соглашений), источником финансового обеспечения которых являются субсидии,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5.11.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BE106B" w:rsidRDefault="00BE106B" w:rsidP="00BE106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5.12. В случае недостижения муниципальным образованием значений результатов использования субсидии к нему применяются меры ответственности, предусмотренные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разделом 5</w:t>
        </w:r>
      </w:hyperlink>
      <w:r>
        <w:rPr>
          <w:rFonts w:ascii="Arial" w:hAnsi="Arial" w:cs="Arial"/>
          <w:sz w:val="20"/>
          <w:szCs w:val="20"/>
        </w:rPr>
        <w:t xml:space="preserve"> Правил.</w:t>
      </w:r>
    </w:p>
    <w:p w:rsidR="00BE106B" w:rsidRDefault="00BE106B" w:rsidP="00BE10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B0246" w:rsidRDefault="00FB0246"/>
    <w:sectPr w:rsidR="00FB0246" w:rsidSect="00BF32DF">
      <w:headerReference w:type="default" r:id="rId14"/>
      <w:pgSz w:w="11906" w:h="16838"/>
      <w:pgMar w:top="1134" w:right="567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2DF" w:rsidRDefault="00BF32DF" w:rsidP="00BF32DF">
      <w:pPr>
        <w:spacing w:after="0" w:line="240" w:lineRule="auto"/>
      </w:pPr>
      <w:r>
        <w:separator/>
      </w:r>
    </w:p>
  </w:endnote>
  <w:endnote w:type="continuationSeparator" w:id="0">
    <w:p w:rsidR="00BF32DF" w:rsidRDefault="00BF32DF" w:rsidP="00BF3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2DF" w:rsidRDefault="00BF32DF" w:rsidP="00BF32DF">
      <w:pPr>
        <w:spacing w:after="0" w:line="240" w:lineRule="auto"/>
      </w:pPr>
      <w:r>
        <w:separator/>
      </w:r>
    </w:p>
  </w:footnote>
  <w:footnote w:type="continuationSeparator" w:id="0">
    <w:p w:rsidR="00BF32DF" w:rsidRDefault="00BF32DF" w:rsidP="00BF3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3659274"/>
      <w:docPartObj>
        <w:docPartGallery w:val="Page Numbers (Top of Page)"/>
        <w:docPartUnique/>
      </w:docPartObj>
    </w:sdtPr>
    <w:sdtEndPr/>
    <w:sdtContent>
      <w:p w:rsidR="00BF32DF" w:rsidRDefault="00BF32DF">
        <w:pPr>
          <w:pStyle w:val="a5"/>
          <w:jc w:val="right"/>
        </w:pPr>
      </w:p>
      <w:p w:rsidR="00BF32DF" w:rsidRPr="00BF32DF" w:rsidRDefault="00BF32DF">
        <w:pPr>
          <w:pStyle w:val="a5"/>
          <w:jc w:val="right"/>
        </w:pPr>
        <w:r w:rsidRPr="00BF32DF">
          <w:fldChar w:fldCharType="begin"/>
        </w:r>
        <w:r w:rsidRPr="00BF32DF">
          <w:instrText>PAGE   \* MERGEFORMAT</w:instrText>
        </w:r>
        <w:r w:rsidRPr="00BF32DF">
          <w:fldChar w:fldCharType="separate"/>
        </w:r>
        <w:r>
          <w:rPr>
            <w:noProof/>
          </w:rPr>
          <w:t>5</w:t>
        </w:r>
        <w:r w:rsidRPr="00BF32DF">
          <w:fldChar w:fldCharType="end"/>
        </w:r>
      </w:p>
    </w:sdtContent>
  </w:sdt>
  <w:p w:rsidR="00BF32DF" w:rsidRDefault="00BF32D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06B"/>
    <w:rsid w:val="00BE106B"/>
    <w:rsid w:val="00BF32DF"/>
    <w:rsid w:val="00EA2278"/>
    <w:rsid w:val="00FB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0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F3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32DF"/>
  </w:style>
  <w:style w:type="paragraph" w:styleId="a7">
    <w:name w:val="footer"/>
    <w:basedOn w:val="a"/>
    <w:link w:val="a8"/>
    <w:uiPriority w:val="99"/>
    <w:unhideWhenUsed/>
    <w:rsid w:val="00BF3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32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0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F3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32DF"/>
  </w:style>
  <w:style w:type="paragraph" w:styleId="a7">
    <w:name w:val="footer"/>
    <w:basedOn w:val="a"/>
    <w:link w:val="a8"/>
    <w:uiPriority w:val="99"/>
    <w:unhideWhenUsed/>
    <w:rsid w:val="00BF3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3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0AB05ED69900A40AB03F3108B311D0F48B41B576E362219A571402D130BEF240CEA586B73988B4675C18DD5DP3l7I" TargetMode="External"/><Relationship Id="rId13" Type="http://schemas.openxmlformats.org/officeDocument/2006/relationships/hyperlink" Target="consultantplus://offline/ref=800AB05ED69900A40AB029391AB311D0F58E41B175E762219A571402D130BEF252CEFD8AB63F93B068494E8C1B605A2D425C79DF41E783E3PBlB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00AB05ED69900A40AB029391AB311D0F58E41B175E762219A571402D130BEF252CEFD8AB63F92B066494E8C1B605A2D425C79DF41E783E3PBlBI" TargetMode="External"/><Relationship Id="rId12" Type="http://schemas.openxmlformats.org/officeDocument/2006/relationships/hyperlink" Target="consultantplus://offline/ref=800AB05ED69900A40AB029391AB311D0F58E41B175E762219A571402D130BEF252CEFD8AB63F93B767494E8C1B605A2D425C79DF41E783E3PBlBI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00AB05ED69900A40AB029391AB311D0F58E41B175E762219A571402D130BEF252CEFD8AB63F90B769494E8C1B605A2D425C79DF41E783E3PBlBI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0AB05ED69900A40AB029391AB311D0F58E41B175E762219A571402D130BEF252CEFD8AB63F90B166494E8C1B605A2D425C79DF41E783E3PBlBI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2458</Words>
  <Characters>14013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Ирина Владимировна</dc:creator>
  <cp:lastModifiedBy>Ямалтдинова Алина Шамилевна</cp:lastModifiedBy>
  <cp:revision>3</cp:revision>
  <cp:lastPrinted>2022-10-04T12:08:00Z</cp:lastPrinted>
  <dcterms:created xsi:type="dcterms:W3CDTF">2022-08-16T08:36:00Z</dcterms:created>
  <dcterms:modified xsi:type="dcterms:W3CDTF">2022-10-04T12:09:00Z</dcterms:modified>
</cp:coreProperties>
</file>