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117D85" w:rsidRDefault="006C0D83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6C0D83" w:rsidRPr="00117D85" w:rsidRDefault="006C0D83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</w:p>
    <w:p w:rsidR="006C0D83" w:rsidRPr="00117D85" w:rsidRDefault="008E1039" w:rsidP="005126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17D85">
        <w:rPr>
          <w:rFonts w:ascii="Times New Roman" w:hAnsi="Times New Roman" w:cs="Times New Roman"/>
          <w:b/>
          <w:sz w:val="28"/>
          <w:szCs w:val="28"/>
        </w:rPr>
        <w:t>«</w:t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>О внесении изменений в статью 6 областного закона «О режиме государст</w:t>
      </w:r>
      <w:r w:rsidR="00512624">
        <w:rPr>
          <w:rFonts w:ascii="Times New Roman" w:hAnsi="Times New Roman" w:cs="Times New Roman"/>
          <w:b/>
          <w:sz w:val="28"/>
          <w:szCs w:val="28"/>
        </w:rPr>
        <w:t>в</w:t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 xml:space="preserve">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512624">
        <w:rPr>
          <w:rFonts w:ascii="Times New Roman" w:hAnsi="Times New Roman" w:cs="Times New Roman"/>
          <w:b/>
          <w:sz w:val="28"/>
          <w:szCs w:val="28"/>
        </w:rPr>
        <w:br/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 xml:space="preserve">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 налогу на прибыль организаций» </w:t>
      </w:r>
      <w:r w:rsidR="00512624">
        <w:rPr>
          <w:rFonts w:ascii="Times New Roman" w:hAnsi="Times New Roman" w:cs="Times New Roman"/>
          <w:b/>
          <w:sz w:val="28"/>
          <w:szCs w:val="28"/>
        </w:rPr>
        <w:br/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>и приостановлении действия отдельных положений статьи 6 областного закона «О</w:t>
      </w:r>
      <w:proofErr w:type="gramEnd"/>
      <w:r w:rsidR="00512624" w:rsidRPr="005126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12624" w:rsidRPr="00512624">
        <w:rPr>
          <w:rFonts w:ascii="Times New Roman" w:hAnsi="Times New Roman" w:cs="Times New Roman"/>
          <w:b/>
          <w:sz w:val="28"/>
          <w:szCs w:val="28"/>
        </w:rPr>
        <w:t>режиме</w:t>
      </w:r>
      <w:proofErr w:type="gramEnd"/>
      <w:r w:rsidR="00512624" w:rsidRPr="00512624">
        <w:rPr>
          <w:rFonts w:ascii="Times New Roman" w:hAnsi="Times New Roman" w:cs="Times New Roman"/>
          <w:b/>
          <w:sz w:val="28"/>
          <w:szCs w:val="28"/>
        </w:rPr>
        <w:t xml:space="preserve"> государственной поддержки организаций, осуществляющих инвестиционную деятельность на территории Ленинградской области, </w:t>
      </w:r>
      <w:r w:rsidR="00512624">
        <w:rPr>
          <w:rFonts w:ascii="Times New Roman" w:hAnsi="Times New Roman" w:cs="Times New Roman"/>
          <w:b/>
          <w:sz w:val="28"/>
          <w:szCs w:val="28"/>
        </w:rPr>
        <w:br/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 xml:space="preserve">и внесении изменений в отдельные законодательные акты </w:t>
      </w:r>
      <w:r w:rsidR="00512624">
        <w:rPr>
          <w:rFonts w:ascii="Times New Roman" w:hAnsi="Times New Roman" w:cs="Times New Roman"/>
          <w:b/>
          <w:sz w:val="28"/>
          <w:szCs w:val="28"/>
        </w:rPr>
        <w:br/>
      </w:r>
      <w:r w:rsidR="00512624" w:rsidRPr="00512624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8E1039" w:rsidRPr="00117D85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7931" w:rsidRPr="00117D85" w:rsidRDefault="00197931" w:rsidP="005126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7D85">
        <w:rPr>
          <w:rFonts w:ascii="Times New Roman" w:hAnsi="Times New Roman"/>
          <w:sz w:val="28"/>
          <w:szCs w:val="28"/>
        </w:rPr>
        <w:t>Проект областного закона «</w:t>
      </w:r>
      <w:r w:rsidR="00512624" w:rsidRPr="00512624">
        <w:rPr>
          <w:rFonts w:ascii="Times New Roman" w:hAnsi="Times New Roman"/>
          <w:sz w:val="28"/>
          <w:szCs w:val="28"/>
        </w:rPr>
        <w:t xml:space="preserve">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 налогу на прибыль организаций» </w:t>
      </w:r>
      <w:r w:rsidR="00512624">
        <w:rPr>
          <w:rFonts w:ascii="Times New Roman" w:hAnsi="Times New Roman"/>
          <w:sz w:val="28"/>
          <w:szCs w:val="28"/>
        </w:rPr>
        <w:br/>
      </w:r>
      <w:r w:rsidR="00512624" w:rsidRPr="00512624">
        <w:rPr>
          <w:rFonts w:ascii="Times New Roman" w:hAnsi="Times New Roman"/>
          <w:sz w:val="28"/>
          <w:szCs w:val="28"/>
        </w:rPr>
        <w:t>и приостановлении действия отдельных положений статьи 6</w:t>
      </w:r>
      <w:proofErr w:type="gramEnd"/>
      <w:r w:rsidR="00512624" w:rsidRPr="00512624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512624">
        <w:rPr>
          <w:rFonts w:ascii="Times New Roman" w:hAnsi="Times New Roman"/>
          <w:sz w:val="28"/>
          <w:szCs w:val="28"/>
        </w:rPr>
        <w:br/>
      </w:r>
      <w:r w:rsidR="00512624" w:rsidRPr="00512624">
        <w:rPr>
          <w:rFonts w:ascii="Times New Roman" w:hAnsi="Times New Roman"/>
          <w:sz w:val="28"/>
          <w:szCs w:val="28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</w:t>
      </w:r>
      <w:r w:rsidR="00512624">
        <w:rPr>
          <w:rFonts w:ascii="Times New Roman" w:hAnsi="Times New Roman"/>
          <w:sz w:val="28"/>
          <w:szCs w:val="28"/>
        </w:rPr>
        <w:t>адской области</w:t>
      </w:r>
      <w:r w:rsidRPr="00117D85">
        <w:rPr>
          <w:rFonts w:ascii="Times New Roman" w:hAnsi="Times New Roman"/>
          <w:sz w:val="28"/>
          <w:szCs w:val="28"/>
        </w:rPr>
        <w:t xml:space="preserve">» </w:t>
      </w:r>
      <w:r w:rsidRPr="00117D85">
        <w:rPr>
          <w:rFonts w:ascii="Times New Roman" w:hAnsi="Times New Roman"/>
          <w:sz w:val="28"/>
          <w:szCs w:val="28"/>
        </w:rPr>
        <w:br/>
        <w:t xml:space="preserve">(далее – Проект закона) подготовлен в качестве антикризисной меры поддержки </w:t>
      </w:r>
      <w:r w:rsidRPr="00117D85">
        <w:rPr>
          <w:rFonts w:ascii="Times New Roman" w:hAnsi="Times New Roman"/>
          <w:sz w:val="28"/>
          <w:szCs w:val="28"/>
        </w:rPr>
        <w:br/>
        <w:t>в целях: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сохранения за инвесторами, заключившими с Ленинградской областью договор о предоставления режима государственной поддержки инвестиционной деятельности в Ленинградской области, права на применение налоговых льгот </w:t>
      </w:r>
      <w:r w:rsidRPr="00117D85">
        <w:rPr>
          <w:rFonts w:ascii="Times New Roman" w:hAnsi="Times New Roman"/>
          <w:sz w:val="28"/>
          <w:szCs w:val="28"/>
        </w:rPr>
        <w:br/>
        <w:t xml:space="preserve">в условиях снижения показателей финансовой деятельности связи </w:t>
      </w:r>
      <w:r w:rsidR="00117D8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с экономическими последствиями распространения новой коронавирусной инфекции (</w:t>
      </w:r>
      <w:r w:rsidRPr="00117D85">
        <w:rPr>
          <w:rFonts w:ascii="Times New Roman" w:hAnsi="Times New Roman"/>
          <w:sz w:val="28"/>
          <w:szCs w:val="28"/>
          <w:lang w:val="en-US"/>
        </w:rPr>
        <w:t>COVID</w:t>
      </w:r>
      <w:r w:rsidRPr="00117D85">
        <w:rPr>
          <w:rFonts w:ascii="Times New Roman" w:hAnsi="Times New Roman"/>
          <w:sz w:val="28"/>
          <w:szCs w:val="28"/>
        </w:rPr>
        <w:t xml:space="preserve">-19);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7D85">
        <w:rPr>
          <w:rFonts w:ascii="Times New Roman" w:hAnsi="Times New Roman"/>
          <w:sz w:val="28"/>
          <w:szCs w:val="28"/>
        </w:rPr>
        <w:t xml:space="preserve">поддержки предприятий обрабатывающих производств, осуществляющих вложения в модернизацию производства, </w:t>
      </w:r>
      <w:r w:rsidRPr="00117D85">
        <w:rPr>
          <w:rFonts w:ascii="Times New Roman" w:hAnsi="Times New Roman"/>
          <w:sz w:val="28"/>
          <w:szCs w:val="28"/>
          <w:lang w:eastAsia="ru-RU"/>
        </w:rPr>
        <w:t xml:space="preserve">путем увеличения доли возмещаемых инвестиционных расходов и расширения видов экономической деятельности </w:t>
      </w:r>
      <w:r w:rsidR="002B35B1" w:rsidRPr="00117D85">
        <w:rPr>
          <w:rFonts w:ascii="Times New Roman" w:hAnsi="Times New Roman"/>
          <w:sz w:val="28"/>
          <w:szCs w:val="28"/>
          <w:lang w:eastAsia="ru-RU"/>
        </w:rPr>
        <w:br/>
      </w:r>
      <w:r w:rsidRPr="00117D85">
        <w:rPr>
          <w:rFonts w:ascii="Times New Roman" w:hAnsi="Times New Roman"/>
          <w:sz w:val="28"/>
          <w:szCs w:val="28"/>
        </w:rPr>
        <w:t>в соответствии с кодами Общероссийского классификатора видов экономической деятельности (далее – ВЭД) ОК 029-2014 (КДЕС</w:t>
      </w:r>
      <w:proofErr w:type="gramStart"/>
      <w:r w:rsidRPr="00117D85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117D85">
        <w:rPr>
          <w:rFonts w:ascii="Times New Roman" w:hAnsi="Times New Roman"/>
          <w:sz w:val="28"/>
          <w:szCs w:val="28"/>
        </w:rPr>
        <w:t>ед. 2)</w:t>
      </w:r>
      <w:r w:rsidRPr="00117D85">
        <w:rPr>
          <w:rFonts w:ascii="Times New Roman" w:hAnsi="Times New Roman"/>
          <w:sz w:val="28"/>
          <w:szCs w:val="28"/>
          <w:lang w:eastAsia="ru-RU"/>
        </w:rPr>
        <w:t>, по которым допускается применение инвестиционного налогового вычета.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  <w:lang w:eastAsia="ru-RU"/>
        </w:rPr>
        <w:t xml:space="preserve">Внесение изменений в областной закон Ленинградской области </w:t>
      </w:r>
      <w:r w:rsidRPr="00117D85">
        <w:rPr>
          <w:rFonts w:ascii="Times New Roman" w:hAnsi="Times New Roman"/>
          <w:sz w:val="28"/>
          <w:szCs w:val="28"/>
          <w:lang w:eastAsia="ru-RU"/>
        </w:rPr>
        <w:br/>
        <w:t xml:space="preserve">от 29 декабря 2012 года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(далее – Закон № 113-оз) продиктовано необходимостью сохранения за инвесторами, заключившими </w:t>
      </w:r>
      <w:r w:rsidRPr="00117D85">
        <w:rPr>
          <w:rFonts w:ascii="Times New Roman" w:hAnsi="Times New Roman"/>
          <w:sz w:val="28"/>
          <w:szCs w:val="28"/>
        </w:rPr>
        <w:t xml:space="preserve">договор о предоставления режима государственной поддержки инвестиционной деятельности в Ленинградской </w:t>
      </w:r>
      <w:r w:rsidRPr="00117D85">
        <w:rPr>
          <w:rFonts w:ascii="Times New Roman" w:hAnsi="Times New Roman"/>
          <w:sz w:val="28"/>
          <w:szCs w:val="28"/>
        </w:rPr>
        <w:lastRenderedPageBreak/>
        <w:t xml:space="preserve">области, возможности продолжить пользоваться налоговыми льготами по налогу </w:t>
      </w:r>
      <w:r w:rsidR="00117D8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 xml:space="preserve">на прибыль организаций и по налогу на имущество организаций на фоне снижения потребительского спроса, что влияет на объемы производимой продукции </w:t>
      </w:r>
      <w:r w:rsidR="00117D8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и окупаемость инвестиционных проектов.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Проектом предусмотрены изменения в часть 5 статьи 6 Закона № 113-оз </w:t>
      </w:r>
      <w:r w:rsidRPr="00117D85">
        <w:rPr>
          <w:rFonts w:ascii="Times New Roman" w:hAnsi="Times New Roman"/>
          <w:sz w:val="28"/>
          <w:szCs w:val="28"/>
        </w:rPr>
        <w:br/>
        <w:t xml:space="preserve">в части уменьшения с 75% до 50% минимального объема общей суммы федеральных и региональных налогов и сборов, подлежащих начислению организацией в областной бюджет Ленинградской области за любой (начиная со второго) календарный год последовательного применения организацией налоговых льгот от  общей суммы федеральных и региональных налогов и сборов, подлежащей уплате (перечислению) организацией и зачисляемой в областной бюджет Ленинградской области за первый календарный год применения налоговых льгот, установленных в соответствии 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с </w:t>
      </w:r>
      <w:hyperlink r:id="rId9" w:history="1">
        <w:r w:rsidRPr="00117D85">
          <w:rPr>
            <w:rStyle w:val="a8"/>
            <w:rFonts w:ascii="Times New Roman" w:hAnsi="Times New Roman"/>
            <w:color w:val="000000"/>
            <w:sz w:val="28"/>
            <w:szCs w:val="28"/>
          </w:rPr>
          <w:t>частью 1 статьи 3</w:t>
        </w:r>
      </w:hyperlink>
      <w:r w:rsidRPr="00117D8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7D85">
        <w:rPr>
          <w:rFonts w:ascii="Times New Roman" w:hAnsi="Times New Roman"/>
          <w:sz w:val="28"/>
          <w:szCs w:val="28"/>
        </w:rPr>
        <w:t>Закона № 113-оз.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>Вынужденные ограничительные меры, принятые правительствами иностранных государств в связи с распространением новой коронавирусной инфекции (</w:t>
      </w:r>
      <w:r w:rsidRPr="00117D85">
        <w:rPr>
          <w:rFonts w:ascii="Times New Roman" w:hAnsi="Times New Roman"/>
          <w:sz w:val="28"/>
          <w:szCs w:val="28"/>
          <w:lang w:val="en-US"/>
        </w:rPr>
        <w:t>COVID</w:t>
      </w:r>
      <w:r w:rsidRPr="00117D85">
        <w:rPr>
          <w:rFonts w:ascii="Times New Roman" w:hAnsi="Times New Roman"/>
          <w:sz w:val="28"/>
          <w:szCs w:val="28"/>
        </w:rPr>
        <w:t xml:space="preserve">-19) в этом году, затруднили перемещение товаров, в том числе сырья и материалов) через государственные границы, а также привлечение иностранных специалистов, которые должны участвовать в наладке импортного иностранного оборудования, а также управленческого персонала, принимающего решения о расходах в модернизацию производства, запуске новых продуктов и </w:t>
      </w:r>
      <w:proofErr w:type="spellStart"/>
      <w:r w:rsidRPr="00117D85">
        <w:rPr>
          <w:rFonts w:ascii="Times New Roman" w:hAnsi="Times New Roman"/>
          <w:sz w:val="28"/>
          <w:szCs w:val="28"/>
        </w:rPr>
        <w:t>тп</w:t>
      </w:r>
      <w:proofErr w:type="spellEnd"/>
      <w:r w:rsidRPr="00117D85">
        <w:rPr>
          <w:rFonts w:ascii="Times New Roman" w:hAnsi="Times New Roman"/>
          <w:sz w:val="28"/>
          <w:szCs w:val="28"/>
        </w:rPr>
        <w:t>. Данные обстоятельства отразились на уровне сбыта продукции региональных предприятий и, соответственно, объемах производства и ценах на готовую продукцию, что в конечном итоге повлияло на снижение объемов выручки и сумм налоговых отчислений в бюджеты бюджетной системы Российской Федерации.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При разработке в 2012 году Закона № 113-оз реалии экономической обстановки сегодняшних дней не могли быть учтены в полной мере, в связи с чем внесение соответствующего изменения полагается своевременным и отвечающим интересам субъектов инвестиционной деятельности.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7D85">
        <w:rPr>
          <w:rFonts w:ascii="Times New Roman" w:hAnsi="Times New Roman"/>
          <w:sz w:val="28"/>
          <w:szCs w:val="28"/>
          <w:lang w:eastAsia="ru-RU"/>
        </w:rPr>
        <w:t xml:space="preserve">Принятие Проекта закона в части изменения Закона № 113-оз </w:t>
      </w:r>
      <w:r w:rsidRPr="00117D85">
        <w:rPr>
          <w:rFonts w:ascii="Times New Roman" w:hAnsi="Times New Roman"/>
          <w:sz w:val="28"/>
          <w:szCs w:val="28"/>
          <w:lang w:eastAsia="ru-RU"/>
        </w:rPr>
        <w:br/>
        <w:t xml:space="preserve">не приведет к дополнительному к снижению налоговых поступлений в областной бюджет Ленинградской области, так как соответствующие снижения доходов были ранее учтены при подписании договоров о предоставлении режима государственной поддержки инвестиционной деятельности в Ленинградской области.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  <w:lang w:eastAsia="ru-RU"/>
        </w:rPr>
        <w:t xml:space="preserve">Также 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Проектом закона предусмотрено расширение категорий налогоплательщиков, которым предоставляется право на применение инвестиционного налогового вычета в соответствии с областным законом </w:t>
      </w:r>
      <w:r w:rsidR="00CD1065">
        <w:rPr>
          <w:rFonts w:ascii="Times New Roman" w:hAnsi="Times New Roman"/>
          <w:color w:val="000000"/>
          <w:sz w:val="28"/>
          <w:szCs w:val="28"/>
        </w:rPr>
        <w:br/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от 06.04.2020 № 36-оз «О применении на территории Ленинградской области инвестиционного налогового вычета по налогу на прибыль организаций» </w:t>
      </w:r>
      <w:r w:rsidR="00CD1065">
        <w:rPr>
          <w:rFonts w:ascii="Times New Roman" w:hAnsi="Times New Roman"/>
          <w:color w:val="000000"/>
          <w:sz w:val="28"/>
          <w:szCs w:val="28"/>
        </w:rPr>
        <w:br/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(далее – Закон № 36-оз), а именно  </w:t>
      </w:r>
      <w:r w:rsidRPr="00117D85">
        <w:rPr>
          <w:rFonts w:ascii="Times New Roman" w:hAnsi="Times New Roman"/>
          <w:sz w:val="28"/>
          <w:szCs w:val="28"/>
        </w:rPr>
        <w:t xml:space="preserve">организациям, осуществляющим ВЭД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 xml:space="preserve">в соответствии с Общероссийским классификатором ВЭД ОК 029-2014 (КДЕС Ред. 2) (далее – ОКВЭД 2): 10 «Производство пищевых продуктов» и 22.2 «Производство изделий из пластмасс», а также 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организациям - участникам промышленного кластера, включенного специализированной организацией в реестр участников промышленного кластера и организациям, являющимся правообладателями объектов инфраструктуры промышленного кластера, не являющимся участниками </w:t>
      </w:r>
      <w:r w:rsidRPr="00117D85">
        <w:rPr>
          <w:rFonts w:ascii="Times New Roman" w:hAnsi="Times New Roman"/>
          <w:color w:val="000000"/>
          <w:sz w:val="28"/>
          <w:szCs w:val="28"/>
        </w:rPr>
        <w:lastRenderedPageBreak/>
        <w:t>промышленного кластера</w:t>
      </w:r>
      <w:r w:rsidRPr="00117D85">
        <w:rPr>
          <w:rFonts w:ascii="Times New Roman" w:hAnsi="Times New Roman"/>
          <w:sz w:val="28"/>
          <w:szCs w:val="28"/>
        </w:rPr>
        <w:t xml:space="preserve"> при условии осуществления ВЭД в соответствии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с разделом С «Обрабатывающие производства» ОКВЭД 2.</w:t>
      </w:r>
    </w:p>
    <w:p w:rsidR="00197931" w:rsidRPr="00117D85" w:rsidRDefault="00197931" w:rsidP="001A20F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>Включение в Закон № 36-оз новых категорий налогоплательщиков ограничивается в целях недопущения резкого роста налоговых расходов областного бюджета Ленинградско</w:t>
      </w:r>
      <w:r w:rsidR="00972DC4" w:rsidRPr="00117D85">
        <w:rPr>
          <w:rFonts w:ascii="Times New Roman" w:hAnsi="Times New Roman"/>
          <w:sz w:val="28"/>
          <w:szCs w:val="28"/>
        </w:rPr>
        <w:t>й области. В связи с изложенным</w:t>
      </w:r>
      <w:r w:rsidRPr="00117D85">
        <w:rPr>
          <w:rFonts w:ascii="Times New Roman" w:hAnsi="Times New Roman"/>
          <w:sz w:val="28"/>
          <w:szCs w:val="28"/>
        </w:rPr>
        <w:t xml:space="preserve"> в Проекте закона предлагается распространить право на использование инвестиционного налогового вычета пока только на две категор</w:t>
      </w:r>
      <w:r w:rsidR="00972DC4" w:rsidRPr="00117D85">
        <w:rPr>
          <w:rFonts w:ascii="Times New Roman" w:hAnsi="Times New Roman"/>
          <w:sz w:val="28"/>
          <w:szCs w:val="28"/>
        </w:rPr>
        <w:t>ии налогоплательщиков. При этом</w:t>
      </w:r>
      <w:r w:rsidRPr="00117D85">
        <w:rPr>
          <w:rFonts w:ascii="Times New Roman" w:hAnsi="Times New Roman"/>
          <w:sz w:val="28"/>
          <w:szCs w:val="28"/>
        </w:rPr>
        <w:t xml:space="preserve"> добавлен не весь класс 22 ОКВЭД 2, а </w:t>
      </w:r>
      <w:r w:rsidR="00833966" w:rsidRPr="00117D85">
        <w:rPr>
          <w:rFonts w:ascii="Times New Roman" w:hAnsi="Times New Roman"/>
          <w:sz w:val="28"/>
          <w:szCs w:val="28"/>
        </w:rPr>
        <w:t xml:space="preserve">только </w:t>
      </w:r>
      <w:r w:rsidRPr="00117D85">
        <w:rPr>
          <w:rFonts w:ascii="Times New Roman" w:hAnsi="Times New Roman"/>
          <w:sz w:val="28"/>
          <w:szCs w:val="28"/>
        </w:rPr>
        <w:t xml:space="preserve">подкласс 22.2 «Производство изделий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из пластмасс»</w:t>
      </w:r>
      <w:r w:rsidR="00833966" w:rsidRPr="00117D85">
        <w:rPr>
          <w:rFonts w:ascii="Times New Roman" w:hAnsi="Times New Roman"/>
          <w:sz w:val="28"/>
          <w:szCs w:val="28"/>
        </w:rPr>
        <w:t xml:space="preserve">. </w:t>
      </w:r>
      <w:r w:rsidRPr="00117D85">
        <w:rPr>
          <w:rFonts w:ascii="Times New Roman" w:hAnsi="Times New Roman"/>
          <w:color w:val="000000" w:themeColor="text1"/>
          <w:sz w:val="28"/>
          <w:szCs w:val="28"/>
        </w:rPr>
        <w:t xml:space="preserve">Включение налогоплательщиков, осуществляющих ВЭД «Производство изделий из пластмасс», обосновано особенностями технологического процесса производства изделий из пластмассы, при котором одним из самых востребованных к обновлению объектов основных средств являются оборудование и технологическая оснастка.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Включение в закон № 36-оз организаций, осуществляющий ВЭД «Производство пищевых </w:t>
      </w:r>
      <w:r w:rsidRPr="00117D85">
        <w:rPr>
          <w:rFonts w:ascii="Times New Roman" w:hAnsi="Times New Roman"/>
          <w:color w:val="000000" w:themeColor="text1"/>
          <w:sz w:val="28"/>
          <w:szCs w:val="28"/>
        </w:rPr>
        <w:t>продуктов», обусловлено тем</w:t>
      </w:r>
      <w:r w:rsidRPr="00117D85">
        <w:rPr>
          <w:rFonts w:ascii="Times New Roman" w:hAnsi="Times New Roman"/>
          <w:sz w:val="28"/>
          <w:szCs w:val="28"/>
        </w:rPr>
        <w:t xml:space="preserve">, что в условиях падения потребительского спроса данная отрасль экономики может показать уверенный рост производства в связи с близостью одного из крупнейших потребительских рынков – Санкт-Петербурга. Предприятия отрасли нуждаются в постоянном обновлении оборудования, к которому предъявляются высокие технические требования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 xml:space="preserve">в соответствии с государственными стандартами к пищевой продукции, кроме того расширяется номенклатура производимой продукции и повышается глубина переработки. В случае предоставления им права на применение инвестиционного налогового вычета из налога на прибыль организаций Ленинградская область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 xml:space="preserve">в среднесрочной перспективе получит не только дополнительные налоговые поступления, но и повышение качества производимой пищевой продукции,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 xml:space="preserve">что является основополагающим фактором здоровья населения Ленинградской области, а также конкурентным преимуществом при экспортных поставках </w:t>
      </w:r>
      <w:r w:rsidR="00CD1065">
        <w:rPr>
          <w:rFonts w:ascii="Times New Roman" w:hAnsi="Times New Roman"/>
          <w:sz w:val="28"/>
          <w:szCs w:val="28"/>
        </w:rPr>
        <w:br/>
      </w:r>
      <w:r w:rsidRPr="00117D85">
        <w:rPr>
          <w:rFonts w:ascii="Times New Roman" w:hAnsi="Times New Roman"/>
          <w:sz w:val="28"/>
          <w:szCs w:val="28"/>
        </w:rPr>
        <w:t>на международные рынки</w:t>
      </w:r>
      <w:r w:rsidR="005945BA" w:rsidRPr="00117D85">
        <w:rPr>
          <w:rFonts w:ascii="Times New Roman" w:hAnsi="Times New Roman"/>
          <w:sz w:val="28"/>
          <w:szCs w:val="28"/>
        </w:rPr>
        <w:t>.</w:t>
      </w:r>
    </w:p>
    <w:p w:rsidR="005945BA" w:rsidRPr="00117D85" w:rsidRDefault="00E06544" w:rsidP="001A20F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>Включение в закон № 36-оз организаций</w:t>
      </w:r>
      <w:r w:rsidR="00FE3245" w:rsidRPr="00117D85">
        <w:rPr>
          <w:rFonts w:ascii="Times New Roman" w:hAnsi="Times New Roman"/>
          <w:sz w:val="28"/>
          <w:szCs w:val="28"/>
        </w:rPr>
        <w:t xml:space="preserve"> </w:t>
      </w:r>
      <w:r w:rsidR="00FE3245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>- участников промышленного кластера, включенного специализированной организацией в реестр участников промышленного кластера и организаций, являющихся правообладателями объектов инфраструктуры промышленного кластера, не являющихся участниками промышленного кластера</w:t>
      </w:r>
      <w:r w:rsidR="005A41DC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73CBF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являться дополнительным стимулом к развитию </w:t>
      </w:r>
      <w:r w:rsidR="00CD106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73CBF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>в регионе промышленной кооперации</w:t>
      </w:r>
      <w:r w:rsidR="00117D85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5A41DC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вступлению</w:t>
      </w:r>
      <w:r w:rsidR="00117D85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промышленные кластеры</w:t>
      </w:r>
      <w:r w:rsidR="005A41DC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новых организаций</w:t>
      </w:r>
      <w:r w:rsidR="00117D85" w:rsidRPr="00117D8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7931" w:rsidRPr="00117D85" w:rsidRDefault="00197931" w:rsidP="001A20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17D85">
        <w:rPr>
          <w:rFonts w:ascii="Times New Roman" w:hAnsi="Times New Roman"/>
          <w:color w:val="000000"/>
          <w:sz w:val="28"/>
          <w:szCs w:val="28"/>
        </w:rPr>
        <w:t xml:space="preserve">Размер </w:t>
      </w:r>
      <w:r w:rsidRPr="00117D85">
        <w:rPr>
          <w:rFonts w:ascii="Times New Roman" w:hAnsi="Times New Roman"/>
          <w:color w:val="000000"/>
          <w:sz w:val="28"/>
          <w:szCs w:val="28"/>
          <w:lang w:eastAsia="ru-RU"/>
        </w:rPr>
        <w:t>инвестиционного налогового вычета из налога на прибыль организаций, подлежащего зачислению в областной бюджет Ленинградской области,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 предлагается определить на уровне 90% (в настоящее время - 50%) расходов на приобретение, создание, модернизацию, реконструкцию, достройку, техническое перевооружение основных средств, относящихся к категории «Машины </w:t>
      </w:r>
      <w:r w:rsidRPr="00117D85">
        <w:rPr>
          <w:rFonts w:ascii="Times New Roman" w:hAnsi="Times New Roman"/>
          <w:color w:val="000000"/>
          <w:sz w:val="28"/>
          <w:szCs w:val="28"/>
        </w:rPr>
        <w:br/>
        <w:t>и оборудование»</w:t>
      </w:r>
      <w:r w:rsidRPr="00117D85">
        <w:rPr>
          <w:rFonts w:ascii="Times New Roman" w:hAnsi="Times New Roman"/>
          <w:spacing w:val="2"/>
          <w:sz w:val="28"/>
          <w:szCs w:val="28"/>
          <w:lang w:eastAsia="ru-RU"/>
        </w:rPr>
        <w:t xml:space="preserve"> третьей - десятой амортизационным группам согласно Классификации основных средств, включаемых в амортизационные группы, утвержденной постановлением  Правительства Российской Федерации от 1 января 2002 года № 1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17D85">
        <w:rPr>
          <w:rFonts w:ascii="Times New Roman" w:hAnsi="Times New Roman"/>
          <w:color w:val="000000"/>
          <w:sz w:val="28"/>
          <w:szCs w:val="28"/>
        </w:rPr>
        <w:lastRenderedPageBreak/>
        <w:t>В настоящее время по информации от промышленных предприятий Ленинградской области новый механизм государственной поддержки не является достаточным стимулом для перехода с политики применения правил амортизации имущества на механизм инвестиционного налогового вычета из-за недостаточного размера инвестиционного налогового вычета. Озвученная позиция только укрепилась с наступлением экономических последствий распространения новой коронавирусной инфекции (</w:t>
      </w:r>
      <w:r w:rsidRPr="00117D85">
        <w:rPr>
          <w:rFonts w:ascii="Times New Roman" w:hAnsi="Times New Roman"/>
          <w:color w:val="000000"/>
          <w:sz w:val="28"/>
          <w:szCs w:val="28"/>
          <w:lang w:val="en-US"/>
        </w:rPr>
        <w:t>COVID</w:t>
      </w:r>
      <w:r w:rsidRPr="00117D85">
        <w:rPr>
          <w:rFonts w:ascii="Times New Roman" w:hAnsi="Times New Roman"/>
          <w:color w:val="000000"/>
          <w:sz w:val="28"/>
          <w:szCs w:val="28"/>
        </w:rPr>
        <w:t xml:space="preserve">-19). Повышение размера инвестиционного налогового вычета до 90% расходов будет являться дополнительным мотивирующим фактором для бизнеса при принятии решения о развитии и(или) модернизации производств. </w:t>
      </w:r>
    </w:p>
    <w:p w:rsidR="00197931" w:rsidRPr="00117D85" w:rsidRDefault="00197931" w:rsidP="001A2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>По результатам анализа определено, что при расширении видов экономической деятельности, по которым допустимо использование инвестиционного налогового вычета, выпадающие доходы бюджета Ленинградской области в 2020 году не ожидаются, так как переход на использование инвестиционного налогового вычета возможен только с началом нового налогового периода по налогу на прибыль организаций. В 2021 году возможный объем снижения налоговых поступлений в результате использования инвестиционного налогового вычета не превысит 459 млн руб. (вместо ранее прогнозируемых 396 млн руб.), что будет компенсировано в последующих налоговых периодах неприменением предприятиями, применяющим инвестиционный налоговый вычет, права на амортизацию соответствующего имущества, что увеличивает налоговую базу по налогу на прибыль организаций.</w:t>
      </w:r>
    </w:p>
    <w:p w:rsidR="00197931" w:rsidRPr="00117D85" w:rsidRDefault="00197931" w:rsidP="001A20F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В соответствии с частью 4 статьи 1 закона Ленинградской области </w:t>
      </w:r>
      <w:r w:rsidRPr="00117D85">
        <w:rPr>
          <w:rFonts w:ascii="Times New Roman" w:hAnsi="Times New Roman"/>
          <w:sz w:val="28"/>
          <w:szCs w:val="28"/>
        </w:rPr>
        <w:br/>
        <w:t>от 16.02.2015 № 5-оз «О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области» проведение оценки регулирующего воздействия Проекта закона не требуется.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48AE" w:rsidRPr="00117D85" w:rsidRDefault="002648A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2648AE" w:rsidTr="002648AE">
        <w:tc>
          <w:tcPr>
            <w:tcW w:w="5210" w:type="dxa"/>
          </w:tcPr>
          <w:p w:rsidR="002648AE" w:rsidRDefault="002648AE" w:rsidP="002648A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2648AE" w:rsidRDefault="002648AE" w:rsidP="00987B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8AE" w:rsidRDefault="002648AE" w:rsidP="00987B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8AE" w:rsidRDefault="002648AE" w:rsidP="00987B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8AE" w:rsidRDefault="002648AE" w:rsidP="00264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601E19" w:rsidRDefault="00601E19" w:rsidP="00F606F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3F9A" w:rsidRDefault="00583F9A" w:rsidP="00F606F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3F9A" w:rsidRDefault="00583F9A" w:rsidP="00F606F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3F9A" w:rsidRDefault="00583F9A" w:rsidP="00F606F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Default="00583F9A" w:rsidP="00583F9A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583F9A" w:rsidRPr="00021200" w:rsidRDefault="00583F9A" w:rsidP="00583F9A">
      <w:pPr>
        <w:pStyle w:val="a5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021200">
        <w:rPr>
          <w:rFonts w:ascii="Times New Roman" w:hAnsi="Times New Roman" w:cs="Times New Roman"/>
          <w:sz w:val="20"/>
        </w:rPr>
        <w:t xml:space="preserve">Исп. Микитюк И.Д. (1984, 539-43-75,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p w:rsidR="00583F9A" w:rsidRPr="00583F9A" w:rsidRDefault="00583F9A" w:rsidP="00F606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83F9A" w:rsidRPr="00583F9A" w:rsidSect="00724C6C">
      <w:footerReference w:type="default" r:id="rId10"/>
      <w:pgSz w:w="11906" w:h="16838"/>
      <w:pgMar w:top="1134" w:right="567" w:bottom="1134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B1D" w:rsidRDefault="00E25B1D" w:rsidP="006C0D83">
      <w:pPr>
        <w:spacing w:after="0" w:line="240" w:lineRule="auto"/>
      </w:pPr>
      <w:r>
        <w:separator/>
      </w:r>
    </w:p>
  </w:endnote>
  <w:endnote w:type="continuationSeparator" w:id="0">
    <w:p w:rsidR="00E25B1D" w:rsidRDefault="00E25B1D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D83" w:rsidRDefault="006C0D83" w:rsidP="005E1F6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B1D" w:rsidRDefault="00E25B1D" w:rsidP="006C0D83">
      <w:pPr>
        <w:spacing w:after="0" w:line="240" w:lineRule="auto"/>
      </w:pPr>
      <w:r>
        <w:separator/>
      </w:r>
    </w:p>
  </w:footnote>
  <w:footnote w:type="continuationSeparator" w:id="0">
    <w:p w:rsidR="00E25B1D" w:rsidRDefault="00E25B1D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17F92"/>
    <w:rsid w:val="00022D2F"/>
    <w:rsid w:val="00056011"/>
    <w:rsid w:val="000819BB"/>
    <w:rsid w:val="0008429A"/>
    <w:rsid w:val="000B7EAA"/>
    <w:rsid w:val="000D7992"/>
    <w:rsid w:val="000E6F2B"/>
    <w:rsid w:val="000F5A8E"/>
    <w:rsid w:val="00117D85"/>
    <w:rsid w:val="001277BE"/>
    <w:rsid w:val="00132A6A"/>
    <w:rsid w:val="001465EB"/>
    <w:rsid w:val="00146BA9"/>
    <w:rsid w:val="00173CBF"/>
    <w:rsid w:val="00180A30"/>
    <w:rsid w:val="00197931"/>
    <w:rsid w:val="001A20F0"/>
    <w:rsid w:val="001B3F1B"/>
    <w:rsid w:val="001B6100"/>
    <w:rsid w:val="001B708B"/>
    <w:rsid w:val="001D77FA"/>
    <w:rsid w:val="00200AC7"/>
    <w:rsid w:val="00214D47"/>
    <w:rsid w:val="00215CEE"/>
    <w:rsid w:val="002648AE"/>
    <w:rsid w:val="002A2586"/>
    <w:rsid w:val="002B35B1"/>
    <w:rsid w:val="002F6E47"/>
    <w:rsid w:val="003057B1"/>
    <w:rsid w:val="00311969"/>
    <w:rsid w:val="003359C3"/>
    <w:rsid w:val="00345A1A"/>
    <w:rsid w:val="00347E32"/>
    <w:rsid w:val="00361EF1"/>
    <w:rsid w:val="00361F69"/>
    <w:rsid w:val="0036490B"/>
    <w:rsid w:val="00370857"/>
    <w:rsid w:val="003727D3"/>
    <w:rsid w:val="00381FD0"/>
    <w:rsid w:val="003828DE"/>
    <w:rsid w:val="003A5339"/>
    <w:rsid w:val="003C0F9E"/>
    <w:rsid w:val="003C1481"/>
    <w:rsid w:val="003C26D4"/>
    <w:rsid w:val="003C7FB2"/>
    <w:rsid w:val="003D4AC9"/>
    <w:rsid w:val="003E5C5C"/>
    <w:rsid w:val="0040744C"/>
    <w:rsid w:val="00430FB7"/>
    <w:rsid w:val="00446BBE"/>
    <w:rsid w:val="004508F9"/>
    <w:rsid w:val="00453AC9"/>
    <w:rsid w:val="004867C1"/>
    <w:rsid w:val="004B33A5"/>
    <w:rsid w:val="004E4962"/>
    <w:rsid w:val="00512624"/>
    <w:rsid w:val="005272D2"/>
    <w:rsid w:val="005307A4"/>
    <w:rsid w:val="005412D4"/>
    <w:rsid w:val="0055709A"/>
    <w:rsid w:val="00560E24"/>
    <w:rsid w:val="00582AC6"/>
    <w:rsid w:val="00583F9A"/>
    <w:rsid w:val="00587737"/>
    <w:rsid w:val="0059284E"/>
    <w:rsid w:val="005945BA"/>
    <w:rsid w:val="00594603"/>
    <w:rsid w:val="005A1F7C"/>
    <w:rsid w:val="005A41DC"/>
    <w:rsid w:val="005A4FD1"/>
    <w:rsid w:val="005B21EC"/>
    <w:rsid w:val="005C5293"/>
    <w:rsid w:val="005E1F6B"/>
    <w:rsid w:val="005E4FA1"/>
    <w:rsid w:val="005F016A"/>
    <w:rsid w:val="005F0734"/>
    <w:rsid w:val="005F6365"/>
    <w:rsid w:val="00601E19"/>
    <w:rsid w:val="00605B7C"/>
    <w:rsid w:val="00622C3E"/>
    <w:rsid w:val="006260FB"/>
    <w:rsid w:val="00663E60"/>
    <w:rsid w:val="0066541F"/>
    <w:rsid w:val="006C0131"/>
    <w:rsid w:val="006C0D83"/>
    <w:rsid w:val="006D1864"/>
    <w:rsid w:val="006D18D7"/>
    <w:rsid w:val="006E227C"/>
    <w:rsid w:val="006F3880"/>
    <w:rsid w:val="00711029"/>
    <w:rsid w:val="00723F62"/>
    <w:rsid w:val="00724C6C"/>
    <w:rsid w:val="00726DA2"/>
    <w:rsid w:val="00733BB8"/>
    <w:rsid w:val="00736709"/>
    <w:rsid w:val="00796038"/>
    <w:rsid w:val="007A7BA3"/>
    <w:rsid w:val="007C770C"/>
    <w:rsid w:val="007C7D83"/>
    <w:rsid w:val="007E7FAE"/>
    <w:rsid w:val="007F5B15"/>
    <w:rsid w:val="00815EC1"/>
    <w:rsid w:val="00821AA5"/>
    <w:rsid w:val="00821C44"/>
    <w:rsid w:val="00833966"/>
    <w:rsid w:val="00842384"/>
    <w:rsid w:val="008454CB"/>
    <w:rsid w:val="008924F9"/>
    <w:rsid w:val="008A5858"/>
    <w:rsid w:val="008C5164"/>
    <w:rsid w:val="008D6071"/>
    <w:rsid w:val="008E1039"/>
    <w:rsid w:val="008F6D03"/>
    <w:rsid w:val="00905F2E"/>
    <w:rsid w:val="00957FC4"/>
    <w:rsid w:val="00972DC4"/>
    <w:rsid w:val="00987BC7"/>
    <w:rsid w:val="009A79AD"/>
    <w:rsid w:val="009F0D76"/>
    <w:rsid w:val="00A019D0"/>
    <w:rsid w:val="00A0421B"/>
    <w:rsid w:val="00A3158A"/>
    <w:rsid w:val="00A4105C"/>
    <w:rsid w:val="00A4133C"/>
    <w:rsid w:val="00A507AB"/>
    <w:rsid w:val="00A536F3"/>
    <w:rsid w:val="00A61E86"/>
    <w:rsid w:val="00A832B8"/>
    <w:rsid w:val="00A9632C"/>
    <w:rsid w:val="00A979D1"/>
    <w:rsid w:val="00AA7C98"/>
    <w:rsid w:val="00AD0E57"/>
    <w:rsid w:val="00AD3B24"/>
    <w:rsid w:val="00AF49BB"/>
    <w:rsid w:val="00B0056F"/>
    <w:rsid w:val="00B445A6"/>
    <w:rsid w:val="00B5548B"/>
    <w:rsid w:val="00B565A4"/>
    <w:rsid w:val="00B6156E"/>
    <w:rsid w:val="00B7248F"/>
    <w:rsid w:val="00B756B5"/>
    <w:rsid w:val="00B9796E"/>
    <w:rsid w:val="00BB6A10"/>
    <w:rsid w:val="00BD1DA9"/>
    <w:rsid w:val="00BE240F"/>
    <w:rsid w:val="00BF2731"/>
    <w:rsid w:val="00BF354A"/>
    <w:rsid w:val="00BF37D0"/>
    <w:rsid w:val="00BF69CA"/>
    <w:rsid w:val="00C06A80"/>
    <w:rsid w:val="00C1134B"/>
    <w:rsid w:val="00C14E6F"/>
    <w:rsid w:val="00C17A05"/>
    <w:rsid w:val="00C3064F"/>
    <w:rsid w:val="00C360B7"/>
    <w:rsid w:val="00C42C3A"/>
    <w:rsid w:val="00C77505"/>
    <w:rsid w:val="00C81D7D"/>
    <w:rsid w:val="00C9271A"/>
    <w:rsid w:val="00C9404C"/>
    <w:rsid w:val="00CA1237"/>
    <w:rsid w:val="00CA139F"/>
    <w:rsid w:val="00CB38B5"/>
    <w:rsid w:val="00CD1065"/>
    <w:rsid w:val="00CD2FDC"/>
    <w:rsid w:val="00CE5588"/>
    <w:rsid w:val="00D03A8A"/>
    <w:rsid w:val="00D17E7C"/>
    <w:rsid w:val="00D22943"/>
    <w:rsid w:val="00D262FB"/>
    <w:rsid w:val="00D50745"/>
    <w:rsid w:val="00D60F52"/>
    <w:rsid w:val="00D6476B"/>
    <w:rsid w:val="00DA471C"/>
    <w:rsid w:val="00DB2F29"/>
    <w:rsid w:val="00DC3BD3"/>
    <w:rsid w:val="00DE73A0"/>
    <w:rsid w:val="00DF7C90"/>
    <w:rsid w:val="00E04D27"/>
    <w:rsid w:val="00E06544"/>
    <w:rsid w:val="00E25304"/>
    <w:rsid w:val="00E25B1D"/>
    <w:rsid w:val="00E359F1"/>
    <w:rsid w:val="00E51872"/>
    <w:rsid w:val="00E61E08"/>
    <w:rsid w:val="00E719C9"/>
    <w:rsid w:val="00E7487A"/>
    <w:rsid w:val="00E80197"/>
    <w:rsid w:val="00ED1A1A"/>
    <w:rsid w:val="00ED6507"/>
    <w:rsid w:val="00F2254A"/>
    <w:rsid w:val="00F231BC"/>
    <w:rsid w:val="00F34E07"/>
    <w:rsid w:val="00F47007"/>
    <w:rsid w:val="00F54B6B"/>
    <w:rsid w:val="00F606FE"/>
    <w:rsid w:val="00F62C86"/>
    <w:rsid w:val="00F803BE"/>
    <w:rsid w:val="00F85F4B"/>
    <w:rsid w:val="00F90377"/>
    <w:rsid w:val="00F9120E"/>
    <w:rsid w:val="00F9607B"/>
    <w:rsid w:val="00FA2603"/>
    <w:rsid w:val="00FB38ED"/>
    <w:rsid w:val="00FD1BA8"/>
    <w:rsid w:val="00FD5D09"/>
    <w:rsid w:val="00FE3245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264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0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264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0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EB9F006D014BB51BA024A7F3CF94279CDBFEB9F78F5E7868AC0BC8F9F3D92B77DBF4362214ADFE01E546C44CFAA71E63D8043822B3C45FAGCE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76D7-BEE6-462C-AB76-BD7BA78C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15</cp:revision>
  <cp:lastPrinted>2020-10-29T08:33:00Z</cp:lastPrinted>
  <dcterms:created xsi:type="dcterms:W3CDTF">2020-09-10T09:44:00Z</dcterms:created>
  <dcterms:modified xsi:type="dcterms:W3CDTF">2020-10-29T08:40:00Z</dcterms:modified>
</cp:coreProperties>
</file>