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C40" w:rsidRPr="003B4738" w:rsidRDefault="00457C40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br/>
      </w:r>
    </w:p>
    <w:p w:rsidR="00457C40" w:rsidRPr="003B4738" w:rsidRDefault="00457C40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ПРАВИТЕЛЬСТВО ЛЕНИНГРАДСКОЙ ОБЛАСТИ</w:t>
      </w:r>
    </w:p>
    <w:p w:rsidR="00457C40" w:rsidRPr="003B4738" w:rsidRDefault="00457C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57C40" w:rsidRPr="003B4738" w:rsidRDefault="00457C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от 6 февраля 2017 г. N 14</w:t>
      </w:r>
    </w:p>
    <w:p w:rsidR="00457C40" w:rsidRPr="003B4738" w:rsidRDefault="00457C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ОБ УТВЕРЖДЕНИИ БЮДЖЕТНОГО ПРОГНОЗА ЛЕНИНГРАДСКОЙ ОБЛАСТИ</w:t>
      </w:r>
    </w:p>
    <w:p w:rsidR="00457C40" w:rsidRPr="003B4738" w:rsidRDefault="00457C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НА ПЕРИОД ДО 2028 ГОДА</w:t>
      </w:r>
    </w:p>
    <w:p w:rsidR="00457C40" w:rsidRPr="003B4738" w:rsidRDefault="00457C40">
      <w:pPr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57C40" w:rsidRPr="003B473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B4738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(в ред. </w:t>
            </w:r>
            <w:hyperlink r:id="rId8" w:history="1">
              <w:r w:rsidRPr="003B4738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Постановления</w:t>
              </w:r>
            </w:hyperlink>
            <w:r w:rsidRPr="003B4738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Правительства Ленинградской области</w:t>
            </w:r>
            <w:proofErr w:type="gramEnd"/>
          </w:p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от 03.02.2020 N 43)</w:t>
            </w:r>
          </w:p>
        </w:tc>
      </w:tr>
    </w:tbl>
    <w:p w:rsidR="00457C40" w:rsidRPr="003B4738" w:rsidRDefault="00457C4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Pr="003B4738">
          <w:rPr>
            <w:rFonts w:ascii="Times New Roman" w:hAnsi="Times New Roman" w:cs="Times New Roman"/>
            <w:color w:val="0000FF"/>
            <w:sz w:val="28"/>
            <w:szCs w:val="28"/>
          </w:rPr>
          <w:t>пунктом 6 статьи 170.1</w:t>
        </w:r>
      </w:hyperlink>
      <w:r w:rsidRPr="003B4738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и </w:t>
      </w:r>
      <w:hyperlink r:id="rId10" w:history="1">
        <w:r w:rsidRPr="003B4738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3B4738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29 июня 2015 года N 246 "Об утверждении Порядка разработки и утверждения бюджетного прогноза Ленинградской области на долгосрочный период" Правительство Ленинградской области постановляет:</w:t>
      </w:r>
    </w:p>
    <w:p w:rsidR="00457C40" w:rsidRPr="003B4738" w:rsidRDefault="00457C4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1. Утвердить прилагаемый бюджетный </w:t>
      </w:r>
      <w:hyperlink w:anchor="P31" w:history="1">
        <w:r w:rsidRPr="003B4738">
          <w:rPr>
            <w:rFonts w:ascii="Times New Roman" w:hAnsi="Times New Roman" w:cs="Times New Roman"/>
            <w:color w:val="0000FF"/>
            <w:sz w:val="28"/>
            <w:szCs w:val="28"/>
          </w:rPr>
          <w:t>прогноз</w:t>
        </w:r>
      </w:hyperlink>
      <w:r w:rsidRPr="003B4738">
        <w:rPr>
          <w:rFonts w:ascii="Times New Roman" w:hAnsi="Times New Roman" w:cs="Times New Roman"/>
          <w:sz w:val="28"/>
          <w:szCs w:val="28"/>
        </w:rPr>
        <w:t xml:space="preserve"> Ленинградской области на период до 2028 года.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3B473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 на первого заместителя Председателя Правительства Ленинградской области - председателя комитета финансов.</w:t>
      </w:r>
    </w:p>
    <w:p w:rsidR="00457C40" w:rsidRPr="003B4738" w:rsidRDefault="00457C4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Губернатор</w:t>
      </w:r>
    </w:p>
    <w:p w:rsidR="00457C40" w:rsidRPr="003B4738" w:rsidRDefault="00457C4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457C40" w:rsidRPr="003B4738" w:rsidRDefault="00457C4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B4738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457C40" w:rsidRPr="003B4738" w:rsidRDefault="00457C4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52E31" w:rsidRDefault="00952E3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57C40" w:rsidRPr="003B4738" w:rsidRDefault="00457C4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457C40" w:rsidRPr="003B4738" w:rsidRDefault="00457C4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457C40" w:rsidRPr="003B4738" w:rsidRDefault="00457C4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457C40" w:rsidRPr="003B4738" w:rsidRDefault="00457C4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от 06.02.2017 N 14</w:t>
      </w:r>
    </w:p>
    <w:p w:rsidR="00457C40" w:rsidRPr="003B4738" w:rsidRDefault="00457C4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(приложение)</w:t>
      </w:r>
    </w:p>
    <w:p w:rsidR="00457C40" w:rsidRPr="003B4738" w:rsidRDefault="00457C4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1"/>
      <w:bookmarkEnd w:id="0"/>
      <w:r w:rsidRPr="003B4738">
        <w:rPr>
          <w:rFonts w:ascii="Times New Roman" w:hAnsi="Times New Roman" w:cs="Times New Roman"/>
          <w:sz w:val="28"/>
          <w:szCs w:val="28"/>
        </w:rPr>
        <w:t>БЮДЖЕТНЫЙ ПРОГНОЗ</w:t>
      </w:r>
    </w:p>
    <w:p w:rsidR="00457C40" w:rsidRPr="003B4738" w:rsidRDefault="00457C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ЛЕНИНГРАДСКОЙ ОБЛАСТИ НА ПЕРИОД ДО 2028 ГОДА</w:t>
      </w:r>
    </w:p>
    <w:p w:rsidR="00457C40" w:rsidRPr="003B4738" w:rsidRDefault="00457C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(ДАЛЕЕ - БЮДЖЕТНЫЙ ПРОГНОЗ)</w:t>
      </w:r>
    </w:p>
    <w:p w:rsidR="00457C40" w:rsidRPr="003B4738" w:rsidRDefault="00457C40">
      <w:pPr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57C40" w:rsidRPr="003B473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B4738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(в ред. </w:t>
            </w:r>
            <w:hyperlink r:id="rId11" w:history="1">
              <w:r w:rsidRPr="003B4738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Постановления</w:t>
              </w:r>
            </w:hyperlink>
            <w:r w:rsidRPr="003B4738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Правительства Ленинградской области</w:t>
            </w:r>
            <w:proofErr w:type="gramEnd"/>
          </w:p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от 03.02.2020 N 43)</w:t>
            </w:r>
          </w:p>
        </w:tc>
      </w:tr>
    </w:tbl>
    <w:p w:rsidR="00457C40" w:rsidRPr="003B4738" w:rsidRDefault="00457C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1. Условия формирования Бюджетного прогноза</w:t>
      </w:r>
    </w:p>
    <w:p w:rsidR="00457C40" w:rsidRPr="003B4738" w:rsidRDefault="00457C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Период быстрого экономического роста, начавшийся в 1999 году и кратковременно прерывавшийся в период глобального финансового кризиса 2008-2009 годов, завершился к 2013 году. За это время валовой региональный продукт Ленинградской области вырос в реальном выражении в 3,24 раза, увеличиваясь ежегодно в среднем на 8,8 процента.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Переломным стал период 2013-2015 годов, по итогам которого физический объем валового регионального продукта Ленинградской области практически не изменился, оставшись на уровне 2012 года. В значительной степени данная динамика отражает общероссийские тенденции.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Ключевыми причинами замедления экономического роста являлись: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исчерпание резервов прежней модели экономического роста, в первую очередь вследствие роста затрат, опережающего рост производительности труда;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значительное ухудшение внешних условий в 2014-2015 годах, связанное с падением цен на мировых рынках углеводородного сырья, ростом геополитической напряженности и введением международных экономических санкций против отдельных российских компаний и секторов экономики, затруднивших доступ к мировым рынкам капитала и технологиям.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Произошедшая в 2014-2015 годах девальвация рубля в значительной степени скомпенсировала ожидаемое падение доходов бюджета, вызванное сокращением объемов валютной выручки предприятий-экспортеров, а также положительно отразилась на конкурентоспособности производимой продукции. В среднесрочном периоде ограничение темпов роста оплаты труда, снижение инфляции и процентных ставок при ограниченном укреплении национальной валюты будут поддерживать рентабельность и инвестиционную привлекательность предприятий, способствовать </w:t>
      </w:r>
      <w:r w:rsidRPr="003B4738">
        <w:rPr>
          <w:rFonts w:ascii="Times New Roman" w:hAnsi="Times New Roman" w:cs="Times New Roman"/>
          <w:sz w:val="28"/>
          <w:szCs w:val="28"/>
        </w:rPr>
        <w:lastRenderedPageBreak/>
        <w:t>восстановлению экономического роста. В долгосрочном периоде дополнительную поддержку росту окажет улучшение конъюнктуры на мировых сырьевых рынках, а также реализация проектов, предусмотренных Стратегией социально-экономического развития Ленинградской области до 2030 года.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Прогнозируется, что </w:t>
      </w:r>
      <w:proofErr w:type="gramStart"/>
      <w:r w:rsidRPr="003B4738">
        <w:rPr>
          <w:rFonts w:ascii="Times New Roman" w:hAnsi="Times New Roman" w:cs="Times New Roman"/>
          <w:sz w:val="28"/>
          <w:szCs w:val="28"/>
        </w:rPr>
        <w:t>начиная с 2020 года среднегодовой темп роста индекса потребительских цен будет составлять 4 процента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>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В период до 2028 года ожидается постепенное наращивание соотношения объемов инвестиций и валового регионального продукта Ленинградской области. Данный показатель возрастет с 34,4 процента в 2017 году до 36,1 процента в 2028 году.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Численность населения Ленинградской области увеличится за этот период на 7,4 процента и составит к 2028 году 1,94 </w:t>
      </w:r>
      <w:proofErr w:type="gramStart"/>
      <w:r w:rsidRPr="003B4738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Численность населения в трудоспособном возрасте увеличится на 0,6 процента, что окажет положительное влияние на рост валового регионального продукта и налоговых поступлений в консолидированный бюджет Ленинградской области.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Наибольший прирост покажет численность населения старше трудоспособного возраста. К 2028 году данный показатель увеличится на 18,7 процента по сравнению с 2017 годом. Доля населения в возрасте старше трудоспособного увеличится на 3,1 </w:t>
      </w:r>
      <w:proofErr w:type="gramStart"/>
      <w:r w:rsidRPr="003B4738">
        <w:rPr>
          <w:rFonts w:ascii="Times New Roman" w:hAnsi="Times New Roman" w:cs="Times New Roman"/>
          <w:sz w:val="28"/>
          <w:szCs w:val="28"/>
        </w:rPr>
        <w:t>процентных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 xml:space="preserve"> пункта и достигнет к 2028 году 30,7 процента от общей численности населения. Это будет создавать дополнительное давление на расходную часть областного бюджета Ленинградской области, стимулируя рост бюджетных ассигнований на социальное обеспечение населения Ленинградской области.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Бюджетная политика Ленинградской области отличалась, с одной стороны, консервативным подходом к планированию доходов и расходов бюджета, с другой стороны - постоянным поиском механизмов и альтернатив более эффективного использования бюджетных средств. Это позволило не допустить бесконтрольного наращивания дефицита бюджета и государственного долга, избежать использования профицита областного бюджета для резкого наращивания объема "постоянных" расходов, которые впоследствии требовали бы ежегодного воспроизведения.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Результатом долговой политики является улучшение структуры государственного долга Ленинградской области в части снижения доли рыночных заимствований.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Основными подходами к формированию бюджетной и налоговой политики Ленинградской области на долгосрочный период являются: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проведение консервативной бюджетной политики органами государственной власти и местного самоуправления Ленинградской области, одним из атрибутов которой является недопущение роста дефицита бюджета и наращивания долговой нагрузки;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lastRenderedPageBreak/>
        <w:t xml:space="preserve">постоянная реализация мероприятий, направленных на повышение эффективности расходов </w:t>
      </w:r>
      <w:proofErr w:type="gramStart"/>
      <w:r w:rsidRPr="003B4738">
        <w:rPr>
          <w:rFonts w:ascii="Times New Roman" w:hAnsi="Times New Roman" w:cs="Times New Roman"/>
          <w:sz w:val="28"/>
          <w:szCs w:val="28"/>
        </w:rPr>
        <w:t>областного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 xml:space="preserve"> и местных бюджетов;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закрепление и развитие положительных темпов экономического роста;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последовательное сокращение неэффективных налоговых расходов.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Бюджетный прогноз разработан на вариативной основе с учетом прогноза социально-экономического развития Ленинградской области на долгосрочный период: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вариант 1 (консервативный) разработан на основе консервативных оценок темпов экономического роста с учетом возможного ухудшения внешнеэкономических условий и предполагает развитие экономики Ленинградской области в условиях инерционной динамики развития, реализации поддерживающей государственной инвестиционной политики, направленной на обеспечение стабильных экономических темпов и постепенное повышение уровня жизни населения;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4738">
        <w:rPr>
          <w:rFonts w:ascii="Times New Roman" w:hAnsi="Times New Roman" w:cs="Times New Roman"/>
          <w:sz w:val="28"/>
          <w:szCs w:val="28"/>
        </w:rPr>
        <w:t xml:space="preserve">вариант 2 (базовый) характеризует развитие экономики в условиях стабильных инфляционных процессов с сохранением консервативных изменений внешних условий, учитывает реализацию комплекса мер, направленных на обеспечение ускорения темпов экономического роста, качественное повышение уровня жизни населения с ориентиром на достижение целевого уровня показателей, установленных </w:t>
      </w:r>
      <w:hyperlink r:id="rId12" w:history="1">
        <w:r w:rsidRPr="003B4738">
          <w:rPr>
            <w:rFonts w:ascii="Times New Roman" w:hAnsi="Times New Roman" w:cs="Times New Roman"/>
            <w:color w:val="0000FF"/>
            <w:sz w:val="28"/>
            <w:szCs w:val="28"/>
          </w:rPr>
          <w:t>Указом</w:t>
        </w:r>
      </w:hyperlink>
      <w:r w:rsidRPr="003B4738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7 мая 2018 года N 204 "О национальных целях и стратегических задачах развития Российской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 xml:space="preserve"> Федерации на период до 2024 года".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Достижение показателей Бюджетного прогноза сопряжено с определенными рисками: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нестабильность поступления налога на прибыль организаций от ответственных участников консолидированных групп налогоплательщиков;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внесение в бюджетное и налоговое законодательство Российской Федерации изменений, влияющих на доходную базу региональных и местных бюджетов;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принятие на федеральном уровне нормативных правовых актов, приводящих к росту расходной части бюджетов субъектов Российской Федерации и местных бюджетов, в течение долгосрочного периода бюджетного планирования.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В целях нивелирования выявленных рисков в Ленинградской области предпринимаются меры по следующим направлениям: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создание благоприятного инвестиционного климата в целях обеспечения роста налогового потенциала региона (сохранение режима наибольшего благоприятствования инвесторам, трейдерам, организациям, осуществляющим деятельность по развитию индустриальных парков, заключение специальных </w:t>
      </w:r>
      <w:r w:rsidRPr="003B4738">
        <w:rPr>
          <w:rFonts w:ascii="Times New Roman" w:hAnsi="Times New Roman" w:cs="Times New Roman"/>
          <w:sz w:val="28"/>
          <w:szCs w:val="28"/>
        </w:rPr>
        <w:lastRenderedPageBreak/>
        <w:t>инвестиционных контрактов, стимулирование реализации региональных инвестиционных проектов, инвестиционные налоговые вычеты, поддержка территорий опережающего социально-экономического развития);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поддержка малого и среднего предпринимательства, в том числе создание условий для роста числа организаций и индивидуальных предпринимателей, применяющих упрощенную и патентную систему налогообложения;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дальнейшее развитие социальной инфраструктуры, в том числе в целях привлечения в регион населения в трудоспособном возрасте.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Бюджетный прогноз сформирован по принципу сбалансированности бюджета: объем предусмотренных бюджетом расходов соответствует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72" w:history="1">
        <w:r w:rsidRPr="003B4738">
          <w:rPr>
            <w:rFonts w:ascii="Times New Roman" w:hAnsi="Times New Roman" w:cs="Times New Roman"/>
            <w:color w:val="0000FF"/>
            <w:sz w:val="28"/>
            <w:szCs w:val="28"/>
          </w:rPr>
          <w:t>разделах 2</w:t>
        </w:r>
      </w:hyperlink>
      <w:r w:rsidRPr="003B4738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404" w:history="1">
        <w:r w:rsidRPr="003B4738">
          <w:rPr>
            <w:rFonts w:ascii="Times New Roman" w:hAnsi="Times New Roman" w:cs="Times New Roman"/>
            <w:color w:val="0000FF"/>
            <w:sz w:val="28"/>
            <w:szCs w:val="28"/>
          </w:rPr>
          <w:t>3</w:t>
        </w:r>
      </w:hyperlink>
      <w:r w:rsidRPr="003B4738">
        <w:rPr>
          <w:rFonts w:ascii="Times New Roman" w:hAnsi="Times New Roman" w:cs="Times New Roman"/>
          <w:sz w:val="28"/>
          <w:szCs w:val="28"/>
        </w:rPr>
        <w:t xml:space="preserve"> показатели, характеризующие параметры консолидированного и областного бюджетов Ленинградской области на период до 2028 года, в том числе структуру и динамику доходной и расходной части, представлены по варианту 2 (базовому) прогноза социально-экономического развития Ленинградской области на долгосрочный период.</w:t>
      </w:r>
    </w:p>
    <w:p w:rsidR="00457C40" w:rsidRPr="003B4738" w:rsidRDefault="00457C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72"/>
      <w:bookmarkEnd w:id="1"/>
      <w:r w:rsidRPr="003B4738">
        <w:rPr>
          <w:rFonts w:ascii="Times New Roman" w:hAnsi="Times New Roman" w:cs="Times New Roman"/>
          <w:sz w:val="28"/>
          <w:szCs w:val="28"/>
        </w:rPr>
        <w:t xml:space="preserve">2. Прогноз основных параметров </w:t>
      </w:r>
      <w:proofErr w:type="gramStart"/>
      <w:r w:rsidRPr="003B4738">
        <w:rPr>
          <w:rFonts w:ascii="Times New Roman" w:hAnsi="Times New Roman" w:cs="Times New Roman"/>
          <w:sz w:val="28"/>
          <w:szCs w:val="28"/>
        </w:rPr>
        <w:t>консолидированного</w:t>
      </w:r>
      <w:proofErr w:type="gramEnd"/>
    </w:p>
    <w:p w:rsidR="00457C40" w:rsidRPr="003B4738" w:rsidRDefault="00457C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3B4738">
        <w:rPr>
          <w:rFonts w:ascii="Times New Roman" w:hAnsi="Times New Roman" w:cs="Times New Roman"/>
          <w:sz w:val="28"/>
          <w:szCs w:val="28"/>
        </w:rPr>
        <w:t>областного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 xml:space="preserve"> бюджетов Ленинградской области</w:t>
      </w:r>
    </w:p>
    <w:p w:rsidR="00457C40" w:rsidRPr="003B4738" w:rsidRDefault="00457C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на период до 2028 года</w:t>
      </w:r>
    </w:p>
    <w:p w:rsidR="00457C40" w:rsidRPr="003B4738" w:rsidRDefault="00457C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4738">
        <w:rPr>
          <w:rFonts w:ascii="Times New Roman" w:hAnsi="Times New Roman" w:cs="Times New Roman"/>
          <w:sz w:val="28"/>
          <w:szCs w:val="28"/>
        </w:rPr>
        <w:t>Расчеты объемов поступлений налоговых и неналоговых доходов в консолидированный и областной бюджеты Ленинградской области в рамках составления Бюджетного прогноза основаны на показателях долгосрочного прогноза социально-экономического развития Ленинградской области на период до 2030 года, характеризующих как общие тенденции развития экономики (объем валового регионального продукта, динамика индекса промышленного производства, объем инвестиций в основной капитал и т.д.), так и изменение макроэкономических показателей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>, оказывающих непосредственное влияние на объемы поступлений по основным доходным источникам бюджета: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темп роста прибыли прибыльных организаций;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темп роста фонда заработной платы;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темп роста амортизационных отчислений.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Из основных доходных источников бюджета наиболее сложным для долгосрочного прогнозирования является налог на прибыль организаций, поскольку на объем его поступлений оказывают влияние различные внешние факторы, такие </w:t>
      </w:r>
      <w:r w:rsidRPr="003B4738">
        <w:rPr>
          <w:rFonts w:ascii="Times New Roman" w:hAnsi="Times New Roman" w:cs="Times New Roman"/>
          <w:sz w:val="28"/>
          <w:szCs w:val="28"/>
        </w:rPr>
        <w:lastRenderedPageBreak/>
        <w:t xml:space="preserve">как </w:t>
      </w:r>
      <w:proofErr w:type="gramStart"/>
      <w:r w:rsidRPr="003B4738">
        <w:rPr>
          <w:rFonts w:ascii="Times New Roman" w:hAnsi="Times New Roman" w:cs="Times New Roman"/>
          <w:sz w:val="28"/>
          <w:szCs w:val="28"/>
        </w:rPr>
        <w:t>цена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 xml:space="preserve"> на нефть, а также динамика курса иностранных валют, обуславливающих объем валютной выручки отдельных налогоплательщиков и, соответственно, сумму самого налога.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С учетом изложенного долгосрочный прогноз по данному доходному источнику рассчитан </w:t>
      </w:r>
      <w:proofErr w:type="gramStart"/>
      <w:r w:rsidRPr="003B4738">
        <w:rPr>
          <w:rFonts w:ascii="Times New Roman" w:hAnsi="Times New Roman" w:cs="Times New Roman"/>
          <w:sz w:val="28"/>
          <w:szCs w:val="28"/>
        </w:rPr>
        <w:t>исходя из прогнозируемого темпа роста, характеризующего темп роста прибыли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 xml:space="preserve"> прибыльных организаций, а также с учетом предполагаемых сумм возврата переплаты по налогу на расчетные счета налогоплательщиков.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Кроме того, при составлении Бюджетного прогноза учтены изменения налогового законодательства Российской Федерации, предполагающие: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исключение из налоговой практики с 1 января 2023 года института консолидированных групп налогоплательщиков, что приведет к сокращению доходной части областного бюджета по налогу на прибыль организаций;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увеличение с 1 января 2025 года </w:t>
      </w:r>
      <w:proofErr w:type="gramStart"/>
      <w:r w:rsidRPr="003B4738">
        <w:rPr>
          <w:rFonts w:ascii="Times New Roman" w:hAnsi="Times New Roman" w:cs="Times New Roman"/>
          <w:sz w:val="28"/>
          <w:szCs w:val="28"/>
        </w:rPr>
        <w:t>на один процентный пункт налоговой ставки по налогу на прибыль организаций для зачисления в бюджеты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Федерации, что позволит увеличить поступления в областной бюджет по данному доходному источнику.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4738">
        <w:rPr>
          <w:rFonts w:ascii="Times New Roman" w:hAnsi="Times New Roman" w:cs="Times New Roman"/>
          <w:sz w:val="28"/>
          <w:szCs w:val="28"/>
        </w:rPr>
        <w:t>По налогу на доходы физических лиц расчет долгосрочного прогноза поступлений осуществлен исходя из прогнозируемого темпа роста, характеризующего темп роста фонда заработной платы, а также с учетом предполагаемого ежегодного прироста социальных и имущественных налоговых вычетов, предоставляемых физическим лицам в рамках реализации налоговой политики Российской Федерации при проведении ежегодных декларационных кампаний.</w:t>
      </w:r>
      <w:proofErr w:type="gramEnd"/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Прогнозируемый объем поступлений налога на имущество организаций рассчитан в соответствии с действующими положениями </w:t>
      </w:r>
      <w:hyperlink r:id="rId13" w:history="1">
        <w:r w:rsidRPr="003B4738">
          <w:rPr>
            <w:rFonts w:ascii="Times New Roman" w:hAnsi="Times New Roman" w:cs="Times New Roman"/>
            <w:color w:val="0000FF"/>
            <w:sz w:val="28"/>
            <w:szCs w:val="28"/>
          </w:rPr>
          <w:t>главы 30</w:t>
        </w:r>
      </w:hyperlink>
      <w:r w:rsidRPr="003B4738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 с учетом индексов изменения величины амортизационных отчислений, отражающих рост налога на имущество в прогнозируемом периоде.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Кроме того, при расчете прогноза по налогу на имущество организаций учитывались следующие факторы: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окончание действия льготного периода по уплате налога на имущество отдельными инвесторами - в соответствии с договорами, заключенными с Правительством Ленинградской области;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расширение налоговой базы за счет привлечения к налогообложению имущества муниципальных учреждений Ленинградской области в результате отмены с 1 января 2020 года налоговой льготы.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4738">
        <w:rPr>
          <w:rFonts w:ascii="Times New Roman" w:hAnsi="Times New Roman" w:cs="Times New Roman"/>
          <w:sz w:val="28"/>
          <w:szCs w:val="28"/>
        </w:rPr>
        <w:t xml:space="preserve">По акцизам на нефтепродукты и алкогольную продукцию расчет поступлений на долгосрочный период осуществлен с учетом действующих ставок акцизов по </w:t>
      </w:r>
      <w:r w:rsidRPr="003B4738">
        <w:rPr>
          <w:rFonts w:ascii="Times New Roman" w:hAnsi="Times New Roman" w:cs="Times New Roman"/>
          <w:sz w:val="28"/>
          <w:szCs w:val="28"/>
        </w:rPr>
        <w:lastRenderedPageBreak/>
        <w:t>подакцизной продукции, а также установленных бюджетным законодательством Российской Федерации нормативов распределения доходов от уплаты акцизов между федеральным бюджетом и бюджетами субъектов Российской Федерации.</w:t>
      </w:r>
      <w:proofErr w:type="gramEnd"/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Следует отметить, что внесенные на федеральном уровне изменения в порядок исчисления акцизов и их распределения между бюджетами бюджетной системы Российской Федерации позволят повысить их роль в формировании доходной части консолидированного бюджета Ленинградской </w:t>
      </w:r>
      <w:proofErr w:type="gramStart"/>
      <w:r w:rsidRPr="003B4738">
        <w:rPr>
          <w:rFonts w:ascii="Times New Roman" w:hAnsi="Times New Roman" w:cs="Times New Roman"/>
          <w:sz w:val="28"/>
          <w:szCs w:val="28"/>
        </w:rPr>
        <w:t>области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 xml:space="preserve"> как в среднесрочной, так и в долгосрочной перспективе.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Объемы поступлений по остальным налоговым доходам, а также неналоговым доходам на долгосрочный период в основном рассчитаны с применением ежегодной динамики роста, учтенной при формировании доходной части консолидированного и областного бюджетов на среднесрочный период.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Основные параметры областного бюджета Ленинградской области на период до 2028 года представлены в </w:t>
      </w:r>
      <w:hyperlink w:anchor="P455" w:history="1">
        <w:r w:rsidRPr="003B4738">
          <w:rPr>
            <w:rFonts w:ascii="Times New Roman" w:hAnsi="Times New Roman" w:cs="Times New Roman"/>
            <w:color w:val="0000FF"/>
            <w:sz w:val="28"/>
            <w:szCs w:val="28"/>
          </w:rPr>
          <w:t>приложении 1</w:t>
        </w:r>
      </w:hyperlink>
      <w:r w:rsidRPr="003B4738">
        <w:rPr>
          <w:rFonts w:ascii="Times New Roman" w:hAnsi="Times New Roman" w:cs="Times New Roman"/>
          <w:sz w:val="28"/>
          <w:szCs w:val="28"/>
        </w:rPr>
        <w:t xml:space="preserve"> к Бюджетному прогнозу.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1. Структура и динамика доходной части областного бюджета Ленинградской области за период 2017-2028 годов характеризуется следующими показателями:</w:t>
      </w:r>
    </w:p>
    <w:p w:rsidR="00457C40" w:rsidRPr="003B4738" w:rsidRDefault="00457C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(тыс. руб.)</w:t>
      </w:r>
    </w:p>
    <w:p w:rsidR="00457C40" w:rsidRPr="003B4738" w:rsidRDefault="00457C40">
      <w:pPr>
        <w:rPr>
          <w:rFonts w:ascii="Times New Roman" w:hAnsi="Times New Roman" w:cs="Times New Roman"/>
          <w:sz w:val="28"/>
          <w:szCs w:val="28"/>
        </w:rPr>
        <w:sectPr w:rsidR="00457C40" w:rsidRPr="003B4738" w:rsidSect="003B4738">
          <w:footerReference w:type="default" r:id="rId14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457C40" w:rsidRPr="003B4738" w:rsidRDefault="00457C40">
      <w:pPr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8"/>
        <w:gridCol w:w="2693"/>
        <w:gridCol w:w="1361"/>
        <w:gridCol w:w="3090"/>
        <w:gridCol w:w="1417"/>
        <w:gridCol w:w="1304"/>
      </w:tblGrid>
      <w:tr w:rsidR="00457C40" w:rsidRPr="003B4738" w:rsidTr="00CF592B">
        <w:tc>
          <w:tcPr>
            <w:tcW w:w="3748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2693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</w:p>
        </w:tc>
        <w:tc>
          <w:tcPr>
            <w:tcW w:w="136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Удельный вес в общем объеме доходов</w:t>
            </w:r>
          </w:p>
        </w:tc>
        <w:tc>
          <w:tcPr>
            <w:tcW w:w="309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141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Удельный вес в общем объеме доходов</w:t>
            </w:r>
          </w:p>
        </w:tc>
        <w:tc>
          <w:tcPr>
            <w:tcW w:w="130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Динамика за период 2017-2028 годов</w:t>
            </w:r>
          </w:p>
        </w:tc>
      </w:tr>
      <w:tr w:rsidR="00457C40" w:rsidRPr="003B4738" w:rsidTr="00CF592B">
        <w:tc>
          <w:tcPr>
            <w:tcW w:w="3748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Доходы</w:t>
            </w:r>
          </w:p>
        </w:tc>
        <w:tc>
          <w:tcPr>
            <w:tcW w:w="2693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105198705,5</w:t>
            </w:r>
          </w:p>
        </w:tc>
        <w:tc>
          <w:tcPr>
            <w:tcW w:w="136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309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210416834,6</w:t>
            </w:r>
          </w:p>
        </w:tc>
        <w:tc>
          <w:tcPr>
            <w:tcW w:w="141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30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200,0</w:t>
            </w:r>
          </w:p>
        </w:tc>
      </w:tr>
      <w:tr w:rsidR="00457C40" w:rsidRPr="003B4738" w:rsidTr="00CF592B">
        <w:tc>
          <w:tcPr>
            <w:tcW w:w="3748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1. Налоговые и неналоговые доходы</w:t>
            </w:r>
          </w:p>
        </w:tc>
        <w:tc>
          <w:tcPr>
            <w:tcW w:w="2693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97304960,0</w:t>
            </w:r>
          </w:p>
        </w:tc>
        <w:tc>
          <w:tcPr>
            <w:tcW w:w="136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92,5</w:t>
            </w:r>
          </w:p>
        </w:tc>
        <w:tc>
          <w:tcPr>
            <w:tcW w:w="309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197834428,3</w:t>
            </w:r>
          </w:p>
        </w:tc>
        <w:tc>
          <w:tcPr>
            <w:tcW w:w="141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94,0</w:t>
            </w:r>
          </w:p>
        </w:tc>
        <w:tc>
          <w:tcPr>
            <w:tcW w:w="130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203,3</w:t>
            </w:r>
          </w:p>
        </w:tc>
      </w:tr>
      <w:tr w:rsidR="00457C40" w:rsidRPr="003B4738" w:rsidTr="00CF592B">
        <w:tc>
          <w:tcPr>
            <w:tcW w:w="3748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1.1. Налоговые доходы</w:t>
            </w:r>
          </w:p>
        </w:tc>
        <w:tc>
          <w:tcPr>
            <w:tcW w:w="2693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92970086,1</w:t>
            </w:r>
          </w:p>
        </w:tc>
        <w:tc>
          <w:tcPr>
            <w:tcW w:w="136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88,4</w:t>
            </w:r>
          </w:p>
        </w:tc>
        <w:tc>
          <w:tcPr>
            <w:tcW w:w="309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195956718,1</w:t>
            </w:r>
          </w:p>
        </w:tc>
        <w:tc>
          <w:tcPr>
            <w:tcW w:w="141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93,1</w:t>
            </w:r>
          </w:p>
        </w:tc>
        <w:tc>
          <w:tcPr>
            <w:tcW w:w="130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210,8</w:t>
            </w:r>
          </w:p>
        </w:tc>
      </w:tr>
      <w:tr w:rsidR="00457C40" w:rsidRPr="003B4738" w:rsidTr="00CF592B">
        <w:tc>
          <w:tcPr>
            <w:tcW w:w="3748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1.2. Неналоговые доходы</w:t>
            </w:r>
          </w:p>
        </w:tc>
        <w:tc>
          <w:tcPr>
            <w:tcW w:w="2693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4334873,9</w:t>
            </w:r>
          </w:p>
        </w:tc>
        <w:tc>
          <w:tcPr>
            <w:tcW w:w="136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4,1</w:t>
            </w:r>
          </w:p>
        </w:tc>
        <w:tc>
          <w:tcPr>
            <w:tcW w:w="309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1877710,2</w:t>
            </w:r>
          </w:p>
        </w:tc>
        <w:tc>
          <w:tcPr>
            <w:tcW w:w="141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130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43,3</w:t>
            </w:r>
          </w:p>
        </w:tc>
      </w:tr>
      <w:tr w:rsidR="00457C40" w:rsidRPr="003B4738" w:rsidTr="00CF592B">
        <w:tc>
          <w:tcPr>
            <w:tcW w:w="3748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2. Безвозмездные поступления</w:t>
            </w:r>
          </w:p>
        </w:tc>
        <w:tc>
          <w:tcPr>
            <w:tcW w:w="2693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7893745,5</w:t>
            </w:r>
          </w:p>
        </w:tc>
        <w:tc>
          <w:tcPr>
            <w:tcW w:w="136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7,5</w:t>
            </w:r>
          </w:p>
        </w:tc>
        <w:tc>
          <w:tcPr>
            <w:tcW w:w="309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12582406,3</w:t>
            </w:r>
          </w:p>
        </w:tc>
        <w:tc>
          <w:tcPr>
            <w:tcW w:w="141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130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159,4</w:t>
            </w:r>
          </w:p>
        </w:tc>
      </w:tr>
    </w:tbl>
    <w:p w:rsidR="00457C40" w:rsidRPr="003B4738" w:rsidRDefault="00457C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F592B" w:rsidRDefault="00CF59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592B" w:rsidRDefault="00CF59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592B" w:rsidRDefault="00CF59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592B" w:rsidRDefault="00CF59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592B" w:rsidRDefault="00CF59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592B" w:rsidRDefault="00CF59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592B" w:rsidRDefault="00CF59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592B" w:rsidRDefault="00CF59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592B" w:rsidRDefault="00CF59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lastRenderedPageBreak/>
        <w:t>В доходной части областного бюджета Ленинградской области в период 2017-2028 годов основной удельный вес (от 92,5% до 94,0%) занимают налоговые и неналоговые доходы.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Доля безвозмездных поступлений в общем объеме доходов снизится с 7,5% в 2017 году до 6,0% в 2028 году.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Структура и динамика собственных доходов областного бюджета Ленинградской области за период 2017-2028 годов характеризуется следующими показателями:</w:t>
      </w:r>
    </w:p>
    <w:p w:rsidR="00457C40" w:rsidRPr="003B4738" w:rsidRDefault="00457C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(тыс. руб.)</w:t>
      </w:r>
    </w:p>
    <w:p w:rsidR="00457C40" w:rsidRPr="003B4738" w:rsidRDefault="00457C40">
      <w:pPr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32"/>
        <w:gridCol w:w="1985"/>
        <w:gridCol w:w="1474"/>
        <w:gridCol w:w="2269"/>
        <w:gridCol w:w="1587"/>
        <w:gridCol w:w="1304"/>
      </w:tblGrid>
      <w:tr w:rsidR="00457C40" w:rsidRPr="003B4738" w:rsidTr="00CF592B">
        <w:tc>
          <w:tcPr>
            <w:tcW w:w="5732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985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</w:p>
        </w:tc>
        <w:tc>
          <w:tcPr>
            <w:tcW w:w="147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Удельный вес в общем объеме налоговых и неналоговых доходов</w:t>
            </w:r>
          </w:p>
        </w:tc>
        <w:tc>
          <w:tcPr>
            <w:tcW w:w="2269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158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Удельный вес в общем объеме налоговых и неналоговых доходов</w:t>
            </w:r>
          </w:p>
        </w:tc>
        <w:tc>
          <w:tcPr>
            <w:tcW w:w="130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Динамика за период 2017-2028 годов</w:t>
            </w:r>
          </w:p>
        </w:tc>
      </w:tr>
      <w:tr w:rsidR="00457C40" w:rsidRPr="003B4738" w:rsidTr="00CF592B">
        <w:tc>
          <w:tcPr>
            <w:tcW w:w="5732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985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97304960,0</w:t>
            </w:r>
          </w:p>
        </w:tc>
        <w:tc>
          <w:tcPr>
            <w:tcW w:w="147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2269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197834428,3</w:t>
            </w:r>
          </w:p>
        </w:tc>
        <w:tc>
          <w:tcPr>
            <w:tcW w:w="158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30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203,3</w:t>
            </w:r>
          </w:p>
        </w:tc>
      </w:tr>
      <w:tr w:rsidR="00457C40" w:rsidRPr="003B4738" w:rsidTr="00CF592B">
        <w:tc>
          <w:tcPr>
            <w:tcW w:w="5732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1.1. Налоговые доходы</w:t>
            </w:r>
          </w:p>
        </w:tc>
        <w:tc>
          <w:tcPr>
            <w:tcW w:w="1985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92970086,1</w:t>
            </w:r>
          </w:p>
        </w:tc>
        <w:tc>
          <w:tcPr>
            <w:tcW w:w="147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95,5</w:t>
            </w:r>
          </w:p>
        </w:tc>
        <w:tc>
          <w:tcPr>
            <w:tcW w:w="2269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195956718,1</w:t>
            </w:r>
          </w:p>
        </w:tc>
        <w:tc>
          <w:tcPr>
            <w:tcW w:w="158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99,1</w:t>
            </w:r>
          </w:p>
        </w:tc>
        <w:tc>
          <w:tcPr>
            <w:tcW w:w="130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210,8</w:t>
            </w:r>
          </w:p>
        </w:tc>
      </w:tr>
      <w:tr w:rsidR="00457C40" w:rsidRPr="003B4738" w:rsidTr="00CF592B">
        <w:tc>
          <w:tcPr>
            <w:tcW w:w="5732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985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7C40" w:rsidRPr="003B4738" w:rsidTr="00CF592B">
        <w:tc>
          <w:tcPr>
            <w:tcW w:w="5732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налог на прибыль организаций</w:t>
            </w:r>
          </w:p>
        </w:tc>
        <w:tc>
          <w:tcPr>
            <w:tcW w:w="1985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41702695,7</w:t>
            </w:r>
          </w:p>
        </w:tc>
        <w:tc>
          <w:tcPr>
            <w:tcW w:w="147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42,9</w:t>
            </w:r>
          </w:p>
        </w:tc>
        <w:tc>
          <w:tcPr>
            <w:tcW w:w="2269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84826469,7</w:t>
            </w:r>
          </w:p>
        </w:tc>
        <w:tc>
          <w:tcPr>
            <w:tcW w:w="158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42,9</w:t>
            </w:r>
          </w:p>
        </w:tc>
        <w:tc>
          <w:tcPr>
            <w:tcW w:w="130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203,4</w:t>
            </w:r>
          </w:p>
        </w:tc>
      </w:tr>
      <w:tr w:rsidR="00457C40" w:rsidRPr="003B4738" w:rsidTr="00CF592B">
        <w:tc>
          <w:tcPr>
            <w:tcW w:w="5732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985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24510681,5</w:t>
            </w:r>
          </w:p>
        </w:tc>
        <w:tc>
          <w:tcPr>
            <w:tcW w:w="147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25,2</w:t>
            </w:r>
          </w:p>
        </w:tc>
        <w:tc>
          <w:tcPr>
            <w:tcW w:w="2269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51684394,3</w:t>
            </w:r>
          </w:p>
        </w:tc>
        <w:tc>
          <w:tcPr>
            <w:tcW w:w="158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26,1</w:t>
            </w:r>
          </w:p>
        </w:tc>
        <w:tc>
          <w:tcPr>
            <w:tcW w:w="130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210,9</w:t>
            </w:r>
          </w:p>
        </w:tc>
      </w:tr>
      <w:tr w:rsidR="00457C40" w:rsidRPr="003B4738" w:rsidTr="00CF592B">
        <w:tc>
          <w:tcPr>
            <w:tcW w:w="5732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акцизы</w:t>
            </w:r>
          </w:p>
        </w:tc>
        <w:tc>
          <w:tcPr>
            <w:tcW w:w="1985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7347872,8</w:t>
            </w:r>
          </w:p>
        </w:tc>
        <w:tc>
          <w:tcPr>
            <w:tcW w:w="147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7,6</w:t>
            </w:r>
          </w:p>
        </w:tc>
        <w:tc>
          <w:tcPr>
            <w:tcW w:w="2269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15052756,4</w:t>
            </w:r>
          </w:p>
        </w:tc>
        <w:tc>
          <w:tcPr>
            <w:tcW w:w="158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7,6</w:t>
            </w:r>
          </w:p>
        </w:tc>
        <w:tc>
          <w:tcPr>
            <w:tcW w:w="130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204,9</w:t>
            </w:r>
          </w:p>
        </w:tc>
      </w:tr>
      <w:tr w:rsidR="00457C40" w:rsidRPr="003B4738" w:rsidTr="00CF592B">
        <w:tc>
          <w:tcPr>
            <w:tcW w:w="5732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налог на имущество организаций</w:t>
            </w:r>
          </w:p>
        </w:tc>
        <w:tc>
          <w:tcPr>
            <w:tcW w:w="1985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16161255,7</w:t>
            </w:r>
          </w:p>
        </w:tc>
        <w:tc>
          <w:tcPr>
            <w:tcW w:w="147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16,6</w:t>
            </w:r>
          </w:p>
        </w:tc>
        <w:tc>
          <w:tcPr>
            <w:tcW w:w="2269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39845377,2</w:t>
            </w:r>
          </w:p>
        </w:tc>
        <w:tc>
          <w:tcPr>
            <w:tcW w:w="158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130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246,5</w:t>
            </w:r>
          </w:p>
        </w:tc>
      </w:tr>
      <w:tr w:rsidR="00457C40" w:rsidRPr="003B4738" w:rsidTr="00CF592B">
        <w:tc>
          <w:tcPr>
            <w:tcW w:w="5732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1.2. Неналоговые доходы</w:t>
            </w:r>
          </w:p>
        </w:tc>
        <w:tc>
          <w:tcPr>
            <w:tcW w:w="1985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4334873,9</w:t>
            </w:r>
          </w:p>
        </w:tc>
        <w:tc>
          <w:tcPr>
            <w:tcW w:w="147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2269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1877710,2</w:t>
            </w:r>
          </w:p>
        </w:tc>
        <w:tc>
          <w:tcPr>
            <w:tcW w:w="158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  <w:tc>
          <w:tcPr>
            <w:tcW w:w="130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43,3</w:t>
            </w:r>
          </w:p>
        </w:tc>
      </w:tr>
    </w:tbl>
    <w:p w:rsidR="00457C40" w:rsidRPr="003B4738" w:rsidRDefault="00457C40">
      <w:pPr>
        <w:rPr>
          <w:rFonts w:ascii="Times New Roman" w:hAnsi="Times New Roman" w:cs="Times New Roman"/>
          <w:sz w:val="28"/>
          <w:szCs w:val="28"/>
        </w:rPr>
        <w:sectPr w:rsidR="00457C40" w:rsidRPr="003B4738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57C40" w:rsidRPr="003B4738" w:rsidRDefault="00457C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В долгосрочной перспективе ожидаются изменения в структуре налоговых и неналоговых доходов областного бюджета Ленинградской области в сторону увеличения доли налоговых доходов - с 95,5% в 2017 году до 99,1% в 2028 году.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Основными налоговыми доходными источниками бюджета по-прежнему останутся налог на прибыль организаций, налог на доходы физических лиц, налог на имущество организаций и акцизы. Удельный вес перечисленных налогов составит в общем объеме налоговых и неналоговых доходов областного бюджета в среднем 96,7%.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Рост поступлений по налоговым доходам за период 2017-2028 годов с учетом макроэкономических показателей по прогнозу социально-экономического развития Ленинградской области составит 210,8%.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По неналоговым доходам наблюдается тенденция к снижению объема платежей к 2028 году на 56,7% за счет сокращения поступлений по доходам от использования государственного имущества (доходы от размещения временно свободных средств областного бюджета на банковских депозитах) и доходам от продажи материальных и нематериальных активов.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Структура и динамика безвозмездных поступлений в областной бюджет Ленинградской области за период 2017-2028 годов характеризуется следующими показателями:</w:t>
      </w:r>
    </w:p>
    <w:p w:rsidR="00457C40" w:rsidRPr="003B4738" w:rsidRDefault="00457C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(тыс. руб.)</w:t>
      </w:r>
    </w:p>
    <w:p w:rsidR="00457C40" w:rsidRPr="003B4738" w:rsidRDefault="00457C40">
      <w:pPr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9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1701"/>
        <w:gridCol w:w="1417"/>
        <w:gridCol w:w="1787"/>
        <w:gridCol w:w="1473"/>
        <w:gridCol w:w="1191"/>
      </w:tblGrid>
      <w:tr w:rsidR="00457C40" w:rsidRPr="003B4738" w:rsidTr="00CF592B">
        <w:tc>
          <w:tcPr>
            <w:tcW w:w="2189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0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</w:p>
        </w:tc>
        <w:tc>
          <w:tcPr>
            <w:tcW w:w="141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Удельный вес в общем объеме безвозмездных поступлений</w:t>
            </w:r>
          </w:p>
        </w:tc>
        <w:tc>
          <w:tcPr>
            <w:tcW w:w="178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1473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Удельный вес в общем объеме безвозмездных поступлений</w:t>
            </w:r>
          </w:p>
        </w:tc>
        <w:tc>
          <w:tcPr>
            <w:tcW w:w="119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Динамика за период 2017-2028 годов</w:t>
            </w:r>
          </w:p>
        </w:tc>
      </w:tr>
      <w:tr w:rsidR="00457C40" w:rsidRPr="003B4738" w:rsidTr="00CF592B">
        <w:tc>
          <w:tcPr>
            <w:tcW w:w="2189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70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7893745,5</w:t>
            </w:r>
          </w:p>
        </w:tc>
        <w:tc>
          <w:tcPr>
            <w:tcW w:w="141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78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12582406,3</w:t>
            </w:r>
          </w:p>
        </w:tc>
        <w:tc>
          <w:tcPr>
            <w:tcW w:w="1473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19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159,4</w:t>
            </w:r>
          </w:p>
        </w:tc>
      </w:tr>
      <w:tr w:rsidR="00457C40" w:rsidRPr="003B4738" w:rsidTr="00CF592B">
        <w:tc>
          <w:tcPr>
            <w:tcW w:w="2189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в том числе из федерального бюджета:</w:t>
            </w:r>
          </w:p>
        </w:tc>
        <w:tc>
          <w:tcPr>
            <w:tcW w:w="170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7578093,8</w:t>
            </w:r>
          </w:p>
        </w:tc>
        <w:tc>
          <w:tcPr>
            <w:tcW w:w="141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96,0</w:t>
            </w:r>
          </w:p>
        </w:tc>
        <w:tc>
          <w:tcPr>
            <w:tcW w:w="178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12155499,9</w:t>
            </w:r>
          </w:p>
        </w:tc>
        <w:tc>
          <w:tcPr>
            <w:tcW w:w="1473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96,6</w:t>
            </w:r>
          </w:p>
        </w:tc>
        <w:tc>
          <w:tcPr>
            <w:tcW w:w="119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160,4</w:t>
            </w:r>
          </w:p>
        </w:tc>
      </w:tr>
      <w:tr w:rsidR="00457C40" w:rsidRPr="003B4738" w:rsidTr="00CF592B">
        <w:tc>
          <w:tcPr>
            <w:tcW w:w="2189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дотации</w:t>
            </w:r>
          </w:p>
        </w:tc>
        <w:tc>
          <w:tcPr>
            <w:tcW w:w="170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1145464,8</w:t>
            </w:r>
          </w:p>
        </w:tc>
        <w:tc>
          <w:tcPr>
            <w:tcW w:w="141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14,5</w:t>
            </w:r>
          </w:p>
        </w:tc>
        <w:tc>
          <w:tcPr>
            <w:tcW w:w="178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1448166,4</w:t>
            </w:r>
          </w:p>
        </w:tc>
        <w:tc>
          <w:tcPr>
            <w:tcW w:w="1473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11,5</w:t>
            </w:r>
          </w:p>
        </w:tc>
        <w:tc>
          <w:tcPr>
            <w:tcW w:w="119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126,4</w:t>
            </w:r>
          </w:p>
        </w:tc>
      </w:tr>
      <w:tr w:rsidR="00457C40" w:rsidRPr="003B4738" w:rsidTr="00CF592B">
        <w:tc>
          <w:tcPr>
            <w:tcW w:w="2189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субсидии</w:t>
            </w:r>
          </w:p>
        </w:tc>
        <w:tc>
          <w:tcPr>
            <w:tcW w:w="170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2764531,4</w:t>
            </w:r>
          </w:p>
        </w:tc>
        <w:tc>
          <w:tcPr>
            <w:tcW w:w="141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35,0</w:t>
            </w:r>
          </w:p>
        </w:tc>
        <w:tc>
          <w:tcPr>
            <w:tcW w:w="178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3945712,8</w:t>
            </w:r>
          </w:p>
        </w:tc>
        <w:tc>
          <w:tcPr>
            <w:tcW w:w="1473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31,4</w:t>
            </w:r>
          </w:p>
        </w:tc>
        <w:tc>
          <w:tcPr>
            <w:tcW w:w="119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142,7</w:t>
            </w:r>
          </w:p>
        </w:tc>
      </w:tr>
      <w:tr w:rsidR="00457C40" w:rsidRPr="003B4738" w:rsidTr="00CF592B">
        <w:tc>
          <w:tcPr>
            <w:tcW w:w="2189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субвенции</w:t>
            </w:r>
          </w:p>
        </w:tc>
        <w:tc>
          <w:tcPr>
            <w:tcW w:w="170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3271257,6</w:t>
            </w:r>
          </w:p>
        </w:tc>
        <w:tc>
          <w:tcPr>
            <w:tcW w:w="141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41,4</w:t>
            </w:r>
          </w:p>
        </w:tc>
        <w:tc>
          <w:tcPr>
            <w:tcW w:w="178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6084466,9</w:t>
            </w:r>
          </w:p>
        </w:tc>
        <w:tc>
          <w:tcPr>
            <w:tcW w:w="1473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48,4</w:t>
            </w:r>
          </w:p>
        </w:tc>
        <w:tc>
          <w:tcPr>
            <w:tcW w:w="119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186,0</w:t>
            </w:r>
          </w:p>
        </w:tc>
      </w:tr>
      <w:tr w:rsidR="00457C40" w:rsidRPr="003B4738" w:rsidTr="00CF592B">
        <w:tc>
          <w:tcPr>
            <w:tcW w:w="2189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70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396840,0</w:t>
            </w:r>
          </w:p>
        </w:tc>
        <w:tc>
          <w:tcPr>
            <w:tcW w:w="141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78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677153,8</w:t>
            </w:r>
          </w:p>
        </w:tc>
        <w:tc>
          <w:tcPr>
            <w:tcW w:w="1473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</w:p>
        </w:tc>
        <w:tc>
          <w:tcPr>
            <w:tcW w:w="119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170,6</w:t>
            </w:r>
          </w:p>
        </w:tc>
      </w:tr>
    </w:tbl>
    <w:p w:rsidR="00457C40" w:rsidRPr="003B4738" w:rsidRDefault="00457C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В структуре безвозмездных поступлений основной удельный вес занимают средства из федерального бюджета и составляют к 2028 году 96,6% от общей суммы безвозмездных поступлений. Кроме того, ожидаются поступления из бюджета Санкт-Петербурга и Пенсионного фонда Российской Федерации.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В 2028 году наблюдается увеличение доли субвенций до 48,4%. Увеличение их объема прогнозируется с темпами, соответствующими динамике потребительских цен. Рост к 2028 году составит 186,0%.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4738">
        <w:rPr>
          <w:rFonts w:ascii="Times New Roman" w:hAnsi="Times New Roman" w:cs="Times New Roman"/>
          <w:sz w:val="28"/>
          <w:szCs w:val="28"/>
        </w:rPr>
        <w:t>Удельный вес субсидий в общем объеме безвозмездных поступлений уменьшится с 2017 года к 2028 году на 3,6%, дотаций - на 3,0%, иных межбюджетных трансфертов увеличится на 0,4%. При формировании Бюджетного прогноза темпы роста объемов поступлений дотаций, субсидий и иных межбюджетных трансфертов из федерального бюджета, начиная с 2023 года, рассчитаны без учета индексации.</w:t>
      </w:r>
      <w:proofErr w:type="gramEnd"/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2. Структура и динамика расходной части областного бюджета Ленинградской области за период 2017-2028 годов характеризуется следующими показателями:</w:t>
      </w:r>
    </w:p>
    <w:p w:rsidR="00457C40" w:rsidRPr="003B4738" w:rsidRDefault="00457C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(тыс. руб.)</w:t>
      </w:r>
    </w:p>
    <w:p w:rsidR="00457C40" w:rsidRPr="003B4738" w:rsidRDefault="00457C40">
      <w:pPr>
        <w:rPr>
          <w:rFonts w:ascii="Times New Roman" w:hAnsi="Times New Roman" w:cs="Times New Roman"/>
          <w:sz w:val="28"/>
          <w:szCs w:val="28"/>
        </w:rPr>
        <w:sectPr w:rsidR="00457C40" w:rsidRPr="003B4738">
          <w:pgSz w:w="11905" w:h="16838"/>
          <w:pgMar w:top="1134" w:right="850" w:bottom="1134" w:left="1701" w:header="0" w:footer="0" w:gutter="0"/>
          <w:cols w:space="720"/>
        </w:sectPr>
      </w:pPr>
    </w:p>
    <w:p w:rsidR="00457C40" w:rsidRPr="003B4738" w:rsidRDefault="00457C40">
      <w:pPr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8"/>
        <w:gridCol w:w="1906"/>
        <w:gridCol w:w="1921"/>
        <w:gridCol w:w="1877"/>
        <w:gridCol w:w="2234"/>
        <w:gridCol w:w="1984"/>
      </w:tblGrid>
      <w:tr w:rsidR="00457C40" w:rsidRPr="003B4738" w:rsidTr="00BE51B3">
        <w:tc>
          <w:tcPr>
            <w:tcW w:w="3748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906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</w:p>
        </w:tc>
        <w:tc>
          <w:tcPr>
            <w:tcW w:w="192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Удельный вес в общем объеме расходов</w:t>
            </w:r>
          </w:p>
        </w:tc>
        <w:tc>
          <w:tcPr>
            <w:tcW w:w="187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223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Удельный вес в общем объеме расходов</w:t>
            </w:r>
          </w:p>
        </w:tc>
        <w:tc>
          <w:tcPr>
            <w:tcW w:w="198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Динамика за период 2017-2028 годов</w:t>
            </w:r>
          </w:p>
        </w:tc>
      </w:tr>
      <w:tr w:rsidR="00457C40" w:rsidRPr="003B4738" w:rsidTr="00BE51B3">
        <w:tc>
          <w:tcPr>
            <w:tcW w:w="3748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906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113159528,8</w:t>
            </w:r>
          </w:p>
        </w:tc>
        <w:tc>
          <w:tcPr>
            <w:tcW w:w="192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87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212433086,1</w:t>
            </w:r>
          </w:p>
        </w:tc>
        <w:tc>
          <w:tcPr>
            <w:tcW w:w="223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98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187,7</w:t>
            </w:r>
          </w:p>
        </w:tc>
      </w:tr>
      <w:tr w:rsidR="00457C40" w:rsidRPr="003B4738" w:rsidTr="00BE51B3">
        <w:tc>
          <w:tcPr>
            <w:tcW w:w="3748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1. Межбюджетные трансферты</w:t>
            </w:r>
          </w:p>
        </w:tc>
        <w:tc>
          <w:tcPr>
            <w:tcW w:w="1906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44468399,3</w:t>
            </w:r>
          </w:p>
        </w:tc>
        <w:tc>
          <w:tcPr>
            <w:tcW w:w="192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39,3</w:t>
            </w:r>
          </w:p>
        </w:tc>
        <w:tc>
          <w:tcPr>
            <w:tcW w:w="187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80989306,7</w:t>
            </w:r>
          </w:p>
        </w:tc>
        <w:tc>
          <w:tcPr>
            <w:tcW w:w="223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38,1</w:t>
            </w:r>
          </w:p>
        </w:tc>
        <w:tc>
          <w:tcPr>
            <w:tcW w:w="198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182,1</w:t>
            </w:r>
          </w:p>
        </w:tc>
      </w:tr>
      <w:tr w:rsidR="00457C40" w:rsidRPr="003B4738" w:rsidTr="00BE51B3">
        <w:tc>
          <w:tcPr>
            <w:tcW w:w="3748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2. Расходы без учета межбюджетных трансфертов</w:t>
            </w:r>
          </w:p>
        </w:tc>
        <w:tc>
          <w:tcPr>
            <w:tcW w:w="1906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68691129,5</w:t>
            </w:r>
          </w:p>
        </w:tc>
        <w:tc>
          <w:tcPr>
            <w:tcW w:w="192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60,7</w:t>
            </w:r>
          </w:p>
        </w:tc>
        <w:tc>
          <w:tcPr>
            <w:tcW w:w="187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131443779,4</w:t>
            </w:r>
          </w:p>
        </w:tc>
        <w:tc>
          <w:tcPr>
            <w:tcW w:w="223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61,9</w:t>
            </w:r>
          </w:p>
        </w:tc>
        <w:tc>
          <w:tcPr>
            <w:tcW w:w="198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191,4</w:t>
            </w:r>
          </w:p>
        </w:tc>
      </w:tr>
    </w:tbl>
    <w:p w:rsidR="00457C40" w:rsidRPr="003B4738" w:rsidRDefault="00457C40">
      <w:pPr>
        <w:rPr>
          <w:rFonts w:ascii="Times New Roman" w:hAnsi="Times New Roman" w:cs="Times New Roman"/>
          <w:sz w:val="28"/>
          <w:szCs w:val="28"/>
        </w:rPr>
        <w:sectPr w:rsidR="00457C40" w:rsidRPr="003B4738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57C40" w:rsidRPr="003B4738" w:rsidRDefault="00457C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В долгосрочной перспективе существенных изменений в структуре расходов областного бюджета Ленинградской области не ожидается: расходы без учета межбюджетных трансфертов составят от 60,7% в общем объеме расходов в 2017 году до 61,9% в 2028 году, а доля межбюджетных трансфертов - от 39,9% </w:t>
      </w:r>
      <w:proofErr w:type="gramStart"/>
      <w:r w:rsidRPr="003B4738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 xml:space="preserve"> 38,1%.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Рост расходов областного бюджета Ленинградской области за период 2017-2028 годов с учетом макроэкономических показателей прогноза социально-экономического развития Ленинградской области составит 187,7%. Долгосрочный прогноз областного бюджета Ленинградской области расходной части рассчитан исходя </w:t>
      </w:r>
      <w:proofErr w:type="gramStart"/>
      <w:r w:rsidRPr="003B4738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>: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индекса потребительских цен;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прироста численности обучающихся (в отношении расходов на дошкольное и общее образование);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увеличения расходов инвестиционного характера к 2028 году до 15,0% от общего объема расходов областного бюджета Ленинградской области;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уровня безвозмездных поступлений.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3. По итогам исполнения областного бюджета Ленинградской области за 2017 год дефицит составил 7960823,3 тыс. рублей или 8,2% от общего объема доходов областного бюджета (без учета безвозмездных поступлений) и профинансирован за счет остатков денежных средств, сложившихся на счетах по учету средств бюджетов. В 2018 и 2019 годах областной бюджет Ленинградской области исполнен с профицитом 13205537,1 тыс. рублей и 645307,4 тыс. рублей соответственно.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4738">
        <w:rPr>
          <w:rFonts w:ascii="Times New Roman" w:hAnsi="Times New Roman" w:cs="Times New Roman"/>
          <w:sz w:val="28"/>
          <w:szCs w:val="28"/>
        </w:rPr>
        <w:t>Начиная с 2020 года исполнение областного бюджета Ленинградской области прогнозируется с дефицитом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>, который в этот период будет снижаться с 6,0% от общего объема доходов областного бюджета (без учета безвозмездных поступлений) в 2020 году до 1,0% - в 2028 году. Источниками финансирования дефицита областного бюджета Ленинградской области в 2020-2023 годах будут являться остатки средств на счетах по учету средств бюджетов, начиная с 2024 года - привлечение кредитов коммерческих организаций и государственные ценные бумаги Ленинградской области. К 2028 году в общем объеме государственного долга Ленинградской области основную долю будут занимать государственные ценные бумаги Ленинградской области, что составит в общем объеме государственного долга Ленинградской области 73,4%.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Основные параметры консолидированного бюджета Ленинградской области на период до 2028 года представлены в </w:t>
      </w:r>
      <w:hyperlink w:anchor="P984" w:history="1">
        <w:r w:rsidRPr="003B4738">
          <w:rPr>
            <w:rFonts w:ascii="Times New Roman" w:hAnsi="Times New Roman" w:cs="Times New Roman"/>
            <w:color w:val="0000FF"/>
            <w:sz w:val="28"/>
            <w:szCs w:val="28"/>
          </w:rPr>
          <w:t>приложении 2</w:t>
        </w:r>
      </w:hyperlink>
      <w:r w:rsidRPr="003B4738">
        <w:rPr>
          <w:rFonts w:ascii="Times New Roman" w:hAnsi="Times New Roman" w:cs="Times New Roman"/>
          <w:sz w:val="28"/>
          <w:szCs w:val="28"/>
        </w:rPr>
        <w:t xml:space="preserve"> к Бюджетному прогнозу.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lastRenderedPageBreak/>
        <w:t>1. Структура и динамика доходной части консолидированного бюджета Ленинградской области за период 2017-2028 годов характеризуется следующими показателями:</w:t>
      </w:r>
    </w:p>
    <w:p w:rsidR="00457C40" w:rsidRPr="003B4738" w:rsidRDefault="00457C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(тыс. руб.)</w:t>
      </w:r>
    </w:p>
    <w:p w:rsidR="00457C40" w:rsidRPr="003B4738" w:rsidRDefault="00457C40">
      <w:pPr>
        <w:rPr>
          <w:rFonts w:ascii="Times New Roman" w:hAnsi="Times New Roman" w:cs="Times New Roman"/>
          <w:sz w:val="28"/>
          <w:szCs w:val="28"/>
        </w:rPr>
        <w:sectPr w:rsidR="00457C40" w:rsidRPr="003B4738">
          <w:pgSz w:w="11905" w:h="16838"/>
          <w:pgMar w:top="1134" w:right="850" w:bottom="1134" w:left="1701" w:header="0" w:footer="0" w:gutter="0"/>
          <w:cols w:space="720"/>
        </w:sectPr>
      </w:pPr>
    </w:p>
    <w:p w:rsidR="00457C40" w:rsidRPr="003B4738" w:rsidRDefault="00457C40">
      <w:pPr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4"/>
        <w:gridCol w:w="2410"/>
        <w:gridCol w:w="1361"/>
        <w:gridCol w:w="2467"/>
        <w:gridCol w:w="1700"/>
        <w:gridCol w:w="1985"/>
      </w:tblGrid>
      <w:tr w:rsidR="00457C40" w:rsidRPr="003B4738" w:rsidTr="00BE51B3">
        <w:tc>
          <w:tcPr>
            <w:tcW w:w="346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241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</w:p>
        </w:tc>
        <w:tc>
          <w:tcPr>
            <w:tcW w:w="136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Удельный вес в общем объеме доходов</w:t>
            </w:r>
          </w:p>
        </w:tc>
        <w:tc>
          <w:tcPr>
            <w:tcW w:w="246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170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Удельный вес в общем объеме доходов</w:t>
            </w:r>
          </w:p>
        </w:tc>
        <w:tc>
          <w:tcPr>
            <w:tcW w:w="1985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Динамика за период 2017-2028 годов</w:t>
            </w:r>
          </w:p>
        </w:tc>
      </w:tr>
      <w:tr w:rsidR="00457C40" w:rsidRPr="003B4738" w:rsidTr="00BE51B3">
        <w:tc>
          <w:tcPr>
            <w:tcW w:w="3464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Доходы</w:t>
            </w:r>
          </w:p>
        </w:tc>
        <w:tc>
          <w:tcPr>
            <w:tcW w:w="241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133890634,9</w:t>
            </w:r>
          </w:p>
        </w:tc>
        <w:tc>
          <w:tcPr>
            <w:tcW w:w="136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246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259094837,3</w:t>
            </w:r>
          </w:p>
        </w:tc>
        <w:tc>
          <w:tcPr>
            <w:tcW w:w="170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985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193,5</w:t>
            </w:r>
          </w:p>
        </w:tc>
      </w:tr>
      <w:tr w:rsidR="00457C40" w:rsidRPr="003B4738" w:rsidTr="00BE51B3">
        <w:tc>
          <w:tcPr>
            <w:tcW w:w="3464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1. Налоговые и неналоговые доходы</w:t>
            </w:r>
          </w:p>
        </w:tc>
        <w:tc>
          <w:tcPr>
            <w:tcW w:w="241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126236537,3</w:t>
            </w:r>
          </w:p>
        </w:tc>
        <w:tc>
          <w:tcPr>
            <w:tcW w:w="136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94,3</w:t>
            </w:r>
          </w:p>
        </w:tc>
        <w:tc>
          <w:tcPr>
            <w:tcW w:w="246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246512431,0</w:t>
            </w:r>
          </w:p>
        </w:tc>
        <w:tc>
          <w:tcPr>
            <w:tcW w:w="170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95,1</w:t>
            </w:r>
          </w:p>
        </w:tc>
        <w:tc>
          <w:tcPr>
            <w:tcW w:w="1985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457C40" w:rsidRPr="003B4738" w:rsidTr="00BE51B3">
        <w:tc>
          <w:tcPr>
            <w:tcW w:w="3464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1.1. Налоговые доходы</w:t>
            </w:r>
          </w:p>
        </w:tc>
        <w:tc>
          <w:tcPr>
            <w:tcW w:w="241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115476152,3</w:t>
            </w:r>
          </w:p>
        </w:tc>
        <w:tc>
          <w:tcPr>
            <w:tcW w:w="136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86,3</w:t>
            </w:r>
          </w:p>
        </w:tc>
        <w:tc>
          <w:tcPr>
            <w:tcW w:w="246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239586763,8</w:t>
            </w:r>
          </w:p>
        </w:tc>
        <w:tc>
          <w:tcPr>
            <w:tcW w:w="170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92,5</w:t>
            </w:r>
          </w:p>
        </w:tc>
        <w:tc>
          <w:tcPr>
            <w:tcW w:w="1985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207,5</w:t>
            </w:r>
          </w:p>
        </w:tc>
      </w:tr>
      <w:tr w:rsidR="00457C40" w:rsidRPr="003B4738" w:rsidTr="00BE51B3">
        <w:tc>
          <w:tcPr>
            <w:tcW w:w="3464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1.2. Неналоговые доходы</w:t>
            </w:r>
          </w:p>
        </w:tc>
        <w:tc>
          <w:tcPr>
            <w:tcW w:w="241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10760385,0</w:t>
            </w:r>
          </w:p>
        </w:tc>
        <w:tc>
          <w:tcPr>
            <w:tcW w:w="136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246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6925667,2</w:t>
            </w:r>
          </w:p>
        </w:tc>
        <w:tc>
          <w:tcPr>
            <w:tcW w:w="170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1985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64,4</w:t>
            </w:r>
          </w:p>
        </w:tc>
      </w:tr>
      <w:tr w:rsidR="00457C40" w:rsidRPr="003B4738" w:rsidTr="00BE51B3">
        <w:tc>
          <w:tcPr>
            <w:tcW w:w="3464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2. Безвозмездные поступления</w:t>
            </w:r>
          </w:p>
        </w:tc>
        <w:tc>
          <w:tcPr>
            <w:tcW w:w="241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7654097,6</w:t>
            </w:r>
          </w:p>
        </w:tc>
        <w:tc>
          <w:tcPr>
            <w:tcW w:w="1361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5,7</w:t>
            </w:r>
          </w:p>
        </w:tc>
        <w:tc>
          <w:tcPr>
            <w:tcW w:w="2467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12582406,3</w:t>
            </w:r>
          </w:p>
        </w:tc>
        <w:tc>
          <w:tcPr>
            <w:tcW w:w="170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4,9</w:t>
            </w:r>
          </w:p>
        </w:tc>
        <w:tc>
          <w:tcPr>
            <w:tcW w:w="1985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164,4</w:t>
            </w:r>
          </w:p>
        </w:tc>
      </w:tr>
    </w:tbl>
    <w:p w:rsidR="00457C40" w:rsidRPr="003B4738" w:rsidRDefault="00457C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В структуре доходной части консолидированного бюджета Ленинградской области в период 2017-2028 годов основной удельный вес (от 94,3% до 95,1%) занимают собственные (налоговые и неналоговые) доходы.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Доля безвозмездных поступлений в общем объеме доходов снизится с 5,7% в 2017 году до 4,9% в 2028 году.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Структура и динамика собственных доходов консолидированного бюджета Ленинградской области за период 2017-2028 годов характеризуется следующими показателями:</w:t>
      </w:r>
    </w:p>
    <w:p w:rsidR="00457C40" w:rsidRPr="003B4738" w:rsidRDefault="00457C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E51B3" w:rsidRDefault="00BE51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E51B3" w:rsidRDefault="00BE51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E51B3" w:rsidRDefault="00BE51B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lastRenderedPageBreak/>
        <w:t>(тыс. руб.)</w:t>
      </w:r>
    </w:p>
    <w:p w:rsidR="00457C40" w:rsidRPr="003B4738" w:rsidRDefault="00457C40">
      <w:pPr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8"/>
        <w:gridCol w:w="2410"/>
        <w:gridCol w:w="1984"/>
        <w:gridCol w:w="2126"/>
        <w:gridCol w:w="1843"/>
        <w:gridCol w:w="1815"/>
      </w:tblGrid>
      <w:tr w:rsidR="00457C40" w:rsidRPr="003B4738" w:rsidTr="00CF592B">
        <w:tc>
          <w:tcPr>
            <w:tcW w:w="3748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241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</w:p>
        </w:tc>
        <w:tc>
          <w:tcPr>
            <w:tcW w:w="198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Удельный вес в общем объеме налоговых и неналоговых доходов</w:t>
            </w:r>
          </w:p>
        </w:tc>
        <w:tc>
          <w:tcPr>
            <w:tcW w:w="2126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</w:p>
        </w:tc>
        <w:tc>
          <w:tcPr>
            <w:tcW w:w="1843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Удельный вес в общем объеме налоговых и неналоговых доходов</w:t>
            </w:r>
          </w:p>
        </w:tc>
        <w:tc>
          <w:tcPr>
            <w:tcW w:w="1815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Динамика за период 2017-2028 годов</w:t>
            </w:r>
          </w:p>
        </w:tc>
      </w:tr>
      <w:tr w:rsidR="00457C40" w:rsidRPr="003B4738" w:rsidTr="00CF592B">
        <w:tc>
          <w:tcPr>
            <w:tcW w:w="3748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41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126236537,3</w:t>
            </w:r>
          </w:p>
        </w:tc>
        <w:tc>
          <w:tcPr>
            <w:tcW w:w="198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2126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246512431,0</w:t>
            </w:r>
          </w:p>
        </w:tc>
        <w:tc>
          <w:tcPr>
            <w:tcW w:w="1843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815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457C40" w:rsidRPr="003B4738" w:rsidTr="00CF592B">
        <w:tc>
          <w:tcPr>
            <w:tcW w:w="3748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Налоговые доходы</w:t>
            </w:r>
          </w:p>
        </w:tc>
        <w:tc>
          <w:tcPr>
            <w:tcW w:w="241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115476152,3</w:t>
            </w:r>
          </w:p>
        </w:tc>
        <w:tc>
          <w:tcPr>
            <w:tcW w:w="198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91,5</w:t>
            </w:r>
          </w:p>
        </w:tc>
        <w:tc>
          <w:tcPr>
            <w:tcW w:w="2126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239586763,8</w:t>
            </w:r>
          </w:p>
        </w:tc>
        <w:tc>
          <w:tcPr>
            <w:tcW w:w="1843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97,2</w:t>
            </w:r>
          </w:p>
        </w:tc>
        <w:tc>
          <w:tcPr>
            <w:tcW w:w="1815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207,5</w:t>
            </w:r>
          </w:p>
        </w:tc>
      </w:tr>
      <w:tr w:rsidR="00457C40" w:rsidRPr="003B4738" w:rsidTr="00CF592B">
        <w:tc>
          <w:tcPr>
            <w:tcW w:w="3748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410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7C40" w:rsidRPr="003B4738" w:rsidTr="00CF592B">
        <w:tc>
          <w:tcPr>
            <w:tcW w:w="3748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налог на прибыль организаций</w:t>
            </w:r>
          </w:p>
        </w:tc>
        <w:tc>
          <w:tcPr>
            <w:tcW w:w="241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41702695,7</w:t>
            </w:r>
          </w:p>
        </w:tc>
        <w:tc>
          <w:tcPr>
            <w:tcW w:w="198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33,0</w:t>
            </w:r>
          </w:p>
        </w:tc>
        <w:tc>
          <w:tcPr>
            <w:tcW w:w="2126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84826469,7</w:t>
            </w:r>
          </w:p>
        </w:tc>
        <w:tc>
          <w:tcPr>
            <w:tcW w:w="1843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34,4</w:t>
            </w:r>
          </w:p>
        </w:tc>
        <w:tc>
          <w:tcPr>
            <w:tcW w:w="1815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203,4</w:t>
            </w:r>
          </w:p>
        </w:tc>
      </w:tr>
      <w:tr w:rsidR="00457C40" w:rsidRPr="003B4738" w:rsidTr="00CF592B">
        <w:tc>
          <w:tcPr>
            <w:tcW w:w="3748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41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38511279,3</w:t>
            </w:r>
          </w:p>
        </w:tc>
        <w:tc>
          <w:tcPr>
            <w:tcW w:w="198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30,5</w:t>
            </w:r>
          </w:p>
        </w:tc>
        <w:tc>
          <w:tcPr>
            <w:tcW w:w="2126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81220288,0</w:t>
            </w:r>
          </w:p>
        </w:tc>
        <w:tc>
          <w:tcPr>
            <w:tcW w:w="1843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33,0</w:t>
            </w:r>
          </w:p>
        </w:tc>
        <w:tc>
          <w:tcPr>
            <w:tcW w:w="1815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210,9</w:t>
            </w:r>
          </w:p>
        </w:tc>
      </w:tr>
      <w:tr w:rsidR="00457C40" w:rsidRPr="003B4738" w:rsidTr="00CF592B">
        <w:tc>
          <w:tcPr>
            <w:tcW w:w="3748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налог на имущество организаций</w:t>
            </w:r>
          </w:p>
        </w:tc>
        <w:tc>
          <w:tcPr>
            <w:tcW w:w="241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16161255,7</w:t>
            </w:r>
          </w:p>
        </w:tc>
        <w:tc>
          <w:tcPr>
            <w:tcW w:w="198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12,8</w:t>
            </w:r>
          </w:p>
        </w:tc>
        <w:tc>
          <w:tcPr>
            <w:tcW w:w="2126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39845377,2</w:t>
            </w:r>
          </w:p>
        </w:tc>
        <w:tc>
          <w:tcPr>
            <w:tcW w:w="1843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16,2</w:t>
            </w:r>
          </w:p>
        </w:tc>
        <w:tc>
          <w:tcPr>
            <w:tcW w:w="1815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246,6</w:t>
            </w:r>
          </w:p>
        </w:tc>
      </w:tr>
      <w:tr w:rsidR="00457C40" w:rsidRPr="003B4738" w:rsidTr="00CF592B">
        <w:tc>
          <w:tcPr>
            <w:tcW w:w="3748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акцизы</w:t>
            </w:r>
          </w:p>
        </w:tc>
        <w:tc>
          <w:tcPr>
            <w:tcW w:w="241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7819985,6</w:t>
            </w:r>
          </w:p>
        </w:tc>
        <w:tc>
          <w:tcPr>
            <w:tcW w:w="198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6,2</w:t>
            </w:r>
          </w:p>
        </w:tc>
        <w:tc>
          <w:tcPr>
            <w:tcW w:w="2126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15922420,2</w:t>
            </w:r>
          </w:p>
        </w:tc>
        <w:tc>
          <w:tcPr>
            <w:tcW w:w="1843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  <w:tc>
          <w:tcPr>
            <w:tcW w:w="1815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203,6</w:t>
            </w:r>
          </w:p>
        </w:tc>
      </w:tr>
      <w:tr w:rsidR="00457C40" w:rsidRPr="003B4738" w:rsidTr="00CF592B">
        <w:tc>
          <w:tcPr>
            <w:tcW w:w="3748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земельный налог</w:t>
            </w:r>
          </w:p>
        </w:tc>
        <w:tc>
          <w:tcPr>
            <w:tcW w:w="241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4269978,0</w:t>
            </w:r>
          </w:p>
        </w:tc>
        <w:tc>
          <w:tcPr>
            <w:tcW w:w="198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2126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6386031,3</w:t>
            </w:r>
          </w:p>
        </w:tc>
        <w:tc>
          <w:tcPr>
            <w:tcW w:w="1843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2,6</w:t>
            </w:r>
          </w:p>
        </w:tc>
        <w:tc>
          <w:tcPr>
            <w:tcW w:w="1815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149,5</w:t>
            </w:r>
          </w:p>
        </w:tc>
      </w:tr>
      <w:tr w:rsidR="00457C40" w:rsidRPr="003B4738" w:rsidTr="00CF592B">
        <w:tc>
          <w:tcPr>
            <w:tcW w:w="3748" w:type="dxa"/>
          </w:tcPr>
          <w:p w:rsidR="00457C40" w:rsidRPr="003B4738" w:rsidRDefault="00457C4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неналоговые доходы</w:t>
            </w:r>
          </w:p>
        </w:tc>
        <w:tc>
          <w:tcPr>
            <w:tcW w:w="2410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10760385,0</w:t>
            </w:r>
          </w:p>
        </w:tc>
        <w:tc>
          <w:tcPr>
            <w:tcW w:w="1984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2126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6925667,2</w:t>
            </w:r>
          </w:p>
        </w:tc>
        <w:tc>
          <w:tcPr>
            <w:tcW w:w="1843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815" w:type="dxa"/>
          </w:tcPr>
          <w:p w:rsidR="00457C40" w:rsidRPr="003B4738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738">
              <w:rPr>
                <w:rFonts w:ascii="Times New Roman" w:hAnsi="Times New Roman" w:cs="Times New Roman"/>
                <w:sz w:val="28"/>
                <w:szCs w:val="28"/>
              </w:rPr>
              <w:t>64,4</w:t>
            </w:r>
          </w:p>
        </w:tc>
      </w:tr>
    </w:tbl>
    <w:p w:rsidR="00457C40" w:rsidRPr="003B4738" w:rsidRDefault="00457C40">
      <w:pPr>
        <w:rPr>
          <w:rFonts w:ascii="Times New Roman" w:hAnsi="Times New Roman" w:cs="Times New Roman"/>
          <w:sz w:val="28"/>
          <w:szCs w:val="28"/>
        </w:rPr>
        <w:sectPr w:rsidR="00457C40" w:rsidRPr="003B4738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57C40" w:rsidRPr="003B4738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lastRenderedPageBreak/>
        <w:t>В структуре налоговых и неналоговых доходов консолидированного бюджета Ленинградской области основной удельный вес в долгосрочной перспективе будут занимать налоговые доходы, их удельный вес к 2028 году составит 97,2%.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Основными налоговыми доходными источниками консолидированного бюджета Ленинградской области по-прежнему останутся налог на прибыль организаций, налог на доходы физических лиц, налог на имущество организаций, акцизы и земельный налог. Удельный вес перечисленных налогов составит к 2028 году 95,2% от общего объема налоговых доходов консолидированного бюджета Ленинградской области.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Рост поступлений по налоговым доходам за период 2017-2028 годов с учетом утвержденных макроэкономических показателей по прогнозу социально-экономического развития Ленинградской области составит 207,5%.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Достижение прогнозируемых показателей темпа роста фонда заработной платы может позволить к 2028 году увеличить значимость налога на доходы физических лиц в структуре налоговых и неналоговых доходов консолидированного бюджета Ленинградской области.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Отмечается существенный рост прогнозируемых поступлений по налогу на имущество организаций к 2028 году, что является результатом проводимой политики по поддержке и развитию инвестиционной деятельности в регионе.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В структуре неналоговых доходов консолидированного бюджета Ленинградской области основной удельный вес (около 80,0%) занимают доходы от использования имущества, находящегося в государственной и муниципальной собственности, доходы от продажи указанного имущества, платежи при пользовании природными ресурсами, а также доходы от оказания платных услуг и компенсации затрат государства.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4738">
        <w:rPr>
          <w:rFonts w:ascii="Times New Roman" w:hAnsi="Times New Roman" w:cs="Times New Roman"/>
          <w:sz w:val="28"/>
          <w:szCs w:val="28"/>
        </w:rPr>
        <w:t>В долгосрочном периоде ожидается тенденция к снижению неналоговых доходов до 2,8%, в том числе доходов от использования государственного и муниципального имущества (за счет выкупа в собственность земельных участков и, соответственно, снижения объемов арендной платы в связи с переходом собственников на уплату земельного налога, а также доходов от размещения временно свободных средств бюджета на банковских депозитах).</w:t>
      </w:r>
      <w:proofErr w:type="gramEnd"/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Кроме того, не ожидается роста доходов бюджета от продажи государственного и муниципального имущества.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lastRenderedPageBreak/>
        <w:t>С учетом изложенных факторов снижение поступлений по неналоговым доходам консолидированного бюджета Ленинградской области ожидается к 2028 году в размере 35,6%.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2. Рост расходов консолидированного бюджета Ленинградской области за период 2017-2028 годов с учетом макроэкономических показателей прогноза социально-экономического развития Ленинградской области на долгосрочный период составит 183,5%. Общий объем расходов увеличится с 142545927,4 тыс. руб. в 2017 году до 261609264,1 тыс. руб. в 2028 году.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Динамика расходов консолидированного бюджета Ленинградской области будет повторять динамику объема расходов областного бюджета Ленинградской области, доля которого в расходах консолидированного бюджета Ленинградской области в 2017-2028 годах будет стабильно держаться в диапазоне 79,4 - 81,2%.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3. Консолидированный бюджет Ленинградской области за 2017 год исполнен с дефицитом, который составил 6,9% от общего объема доходов бюджета без учета безвозмездных поступлений. По итогам 2018 и 2019 годов консолидированный бюджет Ленинградской области исполнен с профицитом.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4738">
        <w:rPr>
          <w:rFonts w:ascii="Times New Roman" w:hAnsi="Times New Roman" w:cs="Times New Roman"/>
          <w:sz w:val="28"/>
          <w:szCs w:val="28"/>
        </w:rPr>
        <w:t>Начиная с 2020 года исполнение консолидированного бюджета Ленинградской области планируется с дефицитом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 xml:space="preserve"> в размере 6,2% от общего объема доходов консолидированного бюджета Ленинградской области без учета утвержденного объема безвозмездных поступлений в 2020 году до 1,0% к 2028 году. Структура </w:t>
      </w:r>
      <w:proofErr w:type="gramStart"/>
      <w:r w:rsidRPr="003B4738">
        <w:rPr>
          <w:rFonts w:ascii="Times New Roman" w:hAnsi="Times New Roman" w:cs="Times New Roman"/>
          <w:sz w:val="28"/>
          <w:szCs w:val="28"/>
        </w:rPr>
        <w:t>источников финансирования дефицита консолидированного бюджета Ленинградской области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 xml:space="preserve"> будет повторять структуру источников финансирования дефицита областного бюджета Ленинградской области.</w:t>
      </w:r>
    </w:p>
    <w:p w:rsidR="00457C40" w:rsidRPr="003B4738" w:rsidRDefault="00457C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P404"/>
      <w:bookmarkEnd w:id="2"/>
      <w:r w:rsidRPr="003B4738">
        <w:rPr>
          <w:rFonts w:ascii="Times New Roman" w:hAnsi="Times New Roman" w:cs="Times New Roman"/>
          <w:sz w:val="28"/>
          <w:szCs w:val="28"/>
        </w:rPr>
        <w:t xml:space="preserve">3. Прогноз основных характеристик </w:t>
      </w:r>
      <w:proofErr w:type="gramStart"/>
      <w:r w:rsidRPr="003B4738">
        <w:rPr>
          <w:rFonts w:ascii="Times New Roman" w:hAnsi="Times New Roman" w:cs="Times New Roman"/>
          <w:sz w:val="28"/>
          <w:szCs w:val="28"/>
        </w:rPr>
        <w:t>консолидированного</w:t>
      </w:r>
      <w:proofErr w:type="gramEnd"/>
    </w:p>
    <w:p w:rsidR="00457C40" w:rsidRPr="003B4738" w:rsidRDefault="00457C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3B4738">
        <w:rPr>
          <w:rFonts w:ascii="Times New Roman" w:hAnsi="Times New Roman" w:cs="Times New Roman"/>
          <w:sz w:val="28"/>
          <w:szCs w:val="28"/>
        </w:rPr>
        <w:t>областного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 xml:space="preserve"> бюджетов Ленинградской области</w:t>
      </w:r>
    </w:p>
    <w:p w:rsidR="00457C40" w:rsidRPr="003B4738" w:rsidRDefault="00457C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на период до 2028 года</w:t>
      </w:r>
    </w:p>
    <w:p w:rsidR="00457C40" w:rsidRPr="003B4738" w:rsidRDefault="00457C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Прогноз основных характеристик областного бюджета Ленинградской области на период до 2028 года представлен в </w:t>
      </w:r>
      <w:hyperlink w:anchor="P1483" w:history="1">
        <w:r w:rsidRPr="003B4738">
          <w:rPr>
            <w:rFonts w:ascii="Times New Roman" w:hAnsi="Times New Roman" w:cs="Times New Roman"/>
            <w:color w:val="0000FF"/>
            <w:sz w:val="28"/>
            <w:szCs w:val="28"/>
          </w:rPr>
          <w:t>приложении 3</w:t>
        </w:r>
      </w:hyperlink>
      <w:r w:rsidRPr="003B4738">
        <w:rPr>
          <w:rFonts w:ascii="Times New Roman" w:hAnsi="Times New Roman" w:cs="Times New Roman"/>
          <w:sz w:val="28"/>
          <w:szCs w:val="28"/>
        </w:rPr>
        <w:t xml:space="preserve"> к Бюджетному прогнозу.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В соответствии с Бюджетным прогнозом ожидается увеличение доходов областного бюджета Ленинградской </w:t>
      </w:r>
      <w:r w:rsidRPr="003B4738">
        <w:rPr>
          <w:rFonts w:ascii="Times New Roman" w:hAnsi="Times New Roman" w:cs="Times New Roman"/>
          <w:sz w:val="28"/>
          <w:szCs w:val="28"/>
        </w:rPr>
        <w:lastRenderedPageBreak/>
        <w:t xml:space="preserve">области к 2028 году по сравнению с 2017 годом на 105,2 </w:t>
      </w:r>
      <w:proofErr w:type="gramStart"/>
      <w:r w:rsidRPr="003B4738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При этом в прогнозируемом периоде наблюдается тенденция к снижению удельного веса доходов в объеме ВРП - с 10,7% в 2017 году до 10,1% в 2028 году.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Расходы областного бюджета Ленинградской области увеличатся к 2028 году на 99,2 </w:t>
      </w:r>
      <w:proofErr w:type="gramStart"/>
      <w:r w:rsidRPr="003B4738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 xml:space="preserve"> руб. по сравнению с 2017 годом, при этом их удельный вес в объеме ВРП уменьшится с 11,5% в 2017 году до 10,2% в 2028 году.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К 2028 году прогнозируется дефицит областного бюджета Ленинградской области в сумме 2,0 </w:t>
      </w:r>
      <w:proofErr w:type="gramStart"/>
      <w:r w:rsidRPr="003B4738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 xml:space="preserve"> рублей, при этом удельный вес в объеме ВРП уменьшится с 0,8% в 2017 году до 0,1% в 2028 году.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Прогнозируется увеличение государственного долга Ленинградской области к 2028 году по сравнению с 2017 годом на 12,3 </w:t>
      </w:r>
      <w:proofErr w:type="gramStart"/>
      <w:r w:rsidRPr="003B4738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 xml:space="preserve"> рублей и составит в 2028 году 16,2 млрд рублей. Удельный вес в объеме ВРП увеличится с 0,4% в 2017 году до 0,8% в 2028 году.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При этом объем государственного долга Ленинградской области останется на экономически безопасном уровне и составит 8,2% от суммы планируемых доходов без учета безвозмездных поступлений, годовая сумма платежей по погашению и обслуживанию государственного долга Ленинградской области составит 2,2% от планируемых доходов на 2028 год.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Увеличение объема государственного долга Ленинградской области и сумм, направляемых на его погашение и обслуживание, не повлечет за собой ухудшения долговой устойчивости региона. В соответствии с оценкой, проведенной Министерством финансов Российской Федерации, Ленинградская область отнесена к группе субъектов Российской Федерации с высоким уровнем долговой устойчивости.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Прогноз основных характеристик консолидированного бюджета Ленинградской области на период до 2028 года представлен в </w:t>
      </w:r>
      <w:hyperlink w:anchor="P1758" w:history="1">
        <w:r w:rsidRPr="003B4738">
          <w:rPr>
            <w:rFonts w:ascii="Times New Roman" w:hAnsi="Times New Roman" w:cs="Times New Roman"/>
            <w:color w:val="0000FF"/>
            <w:sz w:val="28"/>
            <w:szCs w:val="28"/>
          </w:rPr>
          <w:t>приложении 4</w:t>
        </w:r>
      </w:hyperlink>
      <w:r w:rsidRPr="003B4738">
        <w:rPr>
          <w:rFonts w:ascii="Times New Roman" w:hAnsi="Times New Roman" w:cs="Times New Roman"/>
          <w:sz w:val="28"/>
          <w:szCs w:val="28"/>
        </w:rPr>
        <w:t xml:space="preserve"> к Бюджетному прогнозу.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В соответствии с Бюджетным прогнозом ожидается увеличение доходов консолидированного бюджета Ленинградской области к 2028 году по сравнению с 2017 годом на 125,2 </w:t>
      </w:r>
      <w:proofErr w:type="gramStart"/>
      <w:r w:rsidRPr="003B4738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lastRenderedPageBreak/>
        <w:t>Удельный вес доходов в объеме ВРП снизится с 13,6% в 2017 году до 12,5% в 2028 году.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Рост расходов консолидированного бюджета Ленинградской области в 2028 году по сравнению с 2017 годом составит 119,1 </w:t>
      </w:r>
      <w:proofErr w:type="gramStart"/>
      <w:r w:rsidRPr="003B4738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 xml:space="preserve"> рублей, при этом прогнозируется уменьшение их удельного веса в объеме ВРП с 14,5% в 2017 году до 12,6% в 2028 году.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К 2028 году прогнозируется дефицит консолидированного бюджета Ленинградской области в сумме 2,5 </w:t>
      </w:r>
      <w:proofErr w:type="gramStart"/>
      <w:r w:rsidRPr="003B4738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 xml:space="preserve"> руб., при этом удельный вес в объеме ВРП уменьшится с 0,9% в 2017 году до 0,1% в 2028 году.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Прогнозируется увеличение государственного и муниципального долга Ленинградской области к 2028 году по сравнению с 2017 годом на 13,6 </w:t>
      </w:r>
      <w:proofErr w:type="gramStart"/>
      <w:r w:rsidRPr="003B4738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 xml:space="preserve"> рублей и составит в 2028 году 18,7 млрд рублей. Удельный вес в объеме ВРП увеличится с 0,5% в 2017 году до 0,9% в 2028 году.</w:t>
      </w:r>
    </w:p>
    <w:p w:rsidR="00457C40" w:rsidRPr="003B4738" w:rsidRDefault="00457C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 xml:space="preserve">4. Показатели финансового обеспечения </w:t>
      </w:r>
      <w:proofErr w:type="gramStart"/>
      <w:r w:rsidRPr="003B4738"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</w:p>
    <w:p w:rsidR="00457C40" w:rsidRPr="003B4738" w:rsidRDefault="00457C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программ Ленинградской области на период до 2028 года</w:t>
      </w:r>
    </w:p>
    <w:p w:rsidR="00457C40" w:rsidRPr="003B4738" w:rsidRDefault="00457C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57C40" w:rsidRPr="003B4738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2036" w:history="1">
        <w:r w:rsidRPr="003B4738">
          <w:rPr>
            <w:rFonts w:ascii="Times New Roman" w:hAnsi="Times New Roman" w:cs="Times New Roman"/>
            <w:color w:val="0000FF"/>
            <w:sz w:val="28"/>
            <w:szCs w:val="28"/>
          </w:rPr>
          <w:t>Показатели</w:t>
        </w:r>
      </w:hyperlink>
      <w:r w:rsidRPr="003B4738">
        <w:rPr>
          <w:rFonts w:ascii="Times New Roman" w:hAnsi="Times New Roman" w:cs="Times New Roman"/>
          <w:sz w:val="28"/>
          <w:szCs w:val="28"/>
        </w:rPr>
        <w:t xml:space="preserve"> финансового обеспечения государственных программ Ленинградской области на период до 2028 года представлены в приложении 5 к Бюджетному прогнозу.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Бюджетные ассигнования на финансовое обеспечение расходов областного бюджета Ленинградской области в рамках государственных программ Ленинградской области на 2017 год составили 106100321,0 тыс. руб. (или 93,8% от общего объема запланированных расходов), на непрограммные расходы - 7059207,8 тыс. руб. (или 6,2% от общего объема запланированных расходов).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В Ленинградской области реализуется восемнадцать государственных программ, из которых: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1. По шестнадцати государственным программам Ленинградской области срок реализации подходит к концу в 2024 году: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"Комплексное развитие сельских территорий Ленинградской области" (расходы составят 260,5% от уровня 2020 года - года начала реализации государственной программы);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lastRenderedPageBreak/>
        <w:t>"Развитие внутреннего и въездного туризма в Ленинградской области" (расходы составят 153,6% от уровня 2020 года - года начала реализации государственной программы);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"Содействие занятости населения Ленинградской области" (расходы составят 115,6% от уровня 2017 года);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"Развитие здравоохранения в Ленинградской области" (расходы составят 102,9% от уровня 2017 года);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"Социальная поддержка отдельных категорий граждан в Ленинградской области" (расходы составят 112,4% от уровня 2017 года);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"Развитие физической культуры и спорта в Ленинградской области" (расходы составят 143,0% от уровня 2017 года);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"Развитие культуры в Ленинградской области" (расходы составят 156,0% от уровня 2017 года);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"Формирование городской среды и обеспечение качественным жильем граждан на территории Ленинградской области" (расходы составят 218,7% от уровня 2017 года);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"Безопасность Ленинградской области" (расходы составят 129,0% от уровня 2017 года);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"Охрана окружающей среды Ленинградской области" (расходы составят 95,3% от уровня 2017 года);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"Цифровое развитие Ленинградской области" (расходы составят 234,3% от уровня 2017 года);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"Стимулирование экономической активности Ленинградской области" (расходы составят 48,0% от уровня 2017 года);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"Развитие транспортной системы Ленинградской области" (расходы составят 93,6% от уровня 2017 года);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"Развитие сельского хозяйства Ленинградской области" (расходы составят 69,7% от уровня 2017 года);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"Управление государственными финансами и государственным долгом Ленинградской области" (расходы составят 154,9% от уровня 2017 года);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lastRenderedPageBreak/>
        <w:t>"Устойчивое общественное развитие в Ленинградской области" (расходы составят 173,3% от уровня 2017 года).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2. По государственной программе Ленинградской области "Современное образование в Ленинградской области" срок реализации подходит к концу в 2025 году.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3. По государственной программе Ленинградской области "Обеспечение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области" срок реализации подходит к концу в 2029 году.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4738">
        <w:rPr>
          <w:rFonts w:ascii="Times New Roman" w:hAnsi="Times New Roman" w:cs="Times New Roman"/>
          <w:sz w:val="28"/>
          <w:szCs w:val="28"/>
        </w:rPr>
        <w:t>Начиная с 2025 года в целях выполнения условий концессионных соглашений в данной государственной программе утверждены расходы на</w:t>
      </w:r>
      <w:proofErr w:type="gramEnd"/>
      <w:r w:rsidRPr="003B4738">
        <w:rPr>
          <w:rFonts w:ascii="Times New Roman" w:hAnsi="Times New Roman" w:cs="Times New Roman"/>
          <w:sz w:val="28"/>
          <w:szCs w:val="28"/>
        </w:rPr>
        <w:t xml:space="preserve"> реализацию только одного мероприятия по развитию и восстановлению объектов тепло- и электроснабжения муниципальных образований.</w:t>
      </w:r>
    </w:p>
    <w:p w:rsidR="00457C40" w:rsidRPr="003B4738" w:rsidRDefault="00457C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738">
        <w:rPr>
          <w:rFonts w:ascii="Times New Roman" w:hAnsi="Times New Roman" w:cs="Times New Roman"/>
          <w:sz w:val="28"/>
          <w:szCs w:val="28"/>
        </w:rPr>
        <w:t>Основные объемы программных расходов запланированы на период до 2022 года, что говорит об ограниченности существующего горизонта планирования. Уровень программных расходов в структуре областного бюджета Ленинградской области на протяжении всего прогнозируемого периода планируется сохранить в размере не ниже 93,0% от общего объема расходов областного бюджета Ленинградской области.</w:t>
      </w:r>
    </w:p>
    <w:p w:rsidR="00457C40" w:rsidRPr="003B4738" w:rsidRDefault="00457C4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E51B3" w:rsidRDefault="00BE51B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57C40" w:rsidRPr="00BE51B3" w:rsidRDefault="00457C40">
      <w:pPr>
        <w:pStyle w:val="ConsPlusNormal"/>
        <w:jc w:val="right"/>
        <w:outlineLvl w:val="1"/>
        <w:rPr>
          <w:rFonts w:ascii="Times New Roman" w:hAnsi="Times New Roman" w:cs="Times New Roman"/>
          <w:sz w:val="20"/>
        </w:rPr>
      </w:pPr>
      <w:bookmarkStart w:id="3" w:name="P455"/>
      <w:bookmarkEnd w:id="3"/>
      <w:r w:rsidRPr="00BE51B3">
        <w:rPr>
          <w:rFonts w:ascii="Times New Roman" w:hAnsi="Times New Roman" w:cs="Times New Roman"/>
          <w:sz w:val="20"/>
        </w:rPr>
        <w:lastRenderedPageBreak/>
        <w:t>Приложение 1</w:t>
      </w: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BE51B3">
        <w:rPr>
          <w:rFonts w:ascii="Times New Roman" w:hAnsi="Times New Roman" w:cs="Times New Roman"/>
          <w:sz w:val="20"/>
        </w:rPr>
        <w:t>к Бюджетному прогнозу</w:t>
      </w:r>
    </w:p>
    <w:p w:rsidR="00457C40" w:rsidRPr="00BE51B3" w:rsidRDefault="00457C40">
      <w:pPr>
        <w:pStyle w:val="ConsPlusNormal"/>
        <w:jc w:val="right"/>
        <w:outlineLvl w:val="2"/>
        <w:rPr>
          <w:rFonts w:ascii="Times New Roman" w:hAnsi="Times New Roman" w:cs="Times New Roman"/>
          <w:sz w:val="20"/>
        </w:rPr>
      </w:pPr>
      <w:r w:rsidRPr="00BE51B3">
        <w:rPr>
          <w:rFonts w:ascii="Times New Roman" w:hAnsi="Times New Roman" w:cs="Times New Roman"/>
          <w:sz w:val="20"/>
        </w:rPr>
        <w:t>(таблица 1)</w:t>
      </w: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BE51B3">
        <w:rPr>
          <w:rFonts w:ascii="Times New Roman" w:hAnsi="Times New Roman" w:cs="Times New Roman"/>
          <w:sz w:val="20"/>
        </w:rPr>
        <w:t>Основные параметры областного бюджета Ленинградской области</w:t>
      </w:r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BE51B3">
        <w:rPr>
          <w:rFonts w:ascii="Times New Roman" w:hAnsi="Times New Roman" w:cs="Times New Roman"/>
          <w:sz w:val="20"/>
        </w:rPr>
        <w:t>на период до 2028 года</w:t>
      </w:r>
      <w:r w:rsidR="00BE51B3">
        <w:rPr>
          <w:rFonts w:ascii="Times New Roman" w:hAnsi="Times New Roman" w:cs="Times New Roman"/>
          <w:sz w:val="20"/>
        </w:rPr>
        <w:t xml:space="preserve"> </w:t>
      </w:r>
      <w:r w:rsidRPr="00BE51B3">
        <w:rPr>
          <w:rFonts w:ascii="Times New Roman" w:hAnsi="Times New Roman" w:cs="Times New Roman"/>
          <w:sz w:val="20"/>
        </w:rPr>
        <w:t>вариант 1 (консервативный)</w:t>
      </w:r>
    </w:p>
    <w:p w:rsidR="00457C40" w:rsidRPr="00BE51B3" w:rsidRDefault="00457C40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BE51B3">
        <w:rPr>
          <w:rFonts w:ascii="Times New Roman" w:hAnsi="Times New Roman" w:cs="Times New Roman"/>
          <w:sz w:val="20"/>
        </w:rPr>
        <w:t>тыс. руб.</w:t>
      </w:r>
    </w:p>
    <w:p w:rsidR="00457C40" w:rsidRPr="00BE51B3" w:rsidRDefault="00457C40">
      <w:pPr>
        <w:spacing w:after="1"/>
        <w:rPr>
          <w:rFonts w:ascii="Times New Roman" w:hAnsi="Times New Roman" w:cs="Times New Roman"/>
          <w:sz w:val="16"/>
          <w:szCs w:val="16"/>
        </w:rPr>
      </w:pPr>
    </w:p>
    <w:tbl>
      <w:tblPr>
        <w:tblW w:w="16160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1134"/>
        <w:gridCol w:w="1276"/>
        <w:gridCol w:w="1276"/>
        <w:gridCol w:w="1134"/>
        <w:gridCol w:w="1275"/>
        <w:gridCol w:w="1134"/>
        <w:gridCol w:w="1134"/>
        <w:gridCol w:w="1134"/>
        <w:gridCol w:w="993"/>
        <w:gridCol w:w="1134"/>
        <w:gridCol w:w="1134"/>
        <w:gridCol w:w="992"/>
      </w:tblGrid>
      <w:tr w:rsidR="00457C40" w:rsidRPr="00BE51B3" w:rsidTr="00BE51B3"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Показатель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2016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2017 год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2018 год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2019 год</w:t>
            </w:r>
          </w:p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(оценка)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2020 год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</w:tr>
      <w:tr w:rsidR="00457C40" w:rsidRPr="00BE51B3" w:rsidTr="00BE51B3">
        <w:tc>
          <w:tcPr>
            <w:tcW w:w="1276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Доходы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109465368,2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105198705,5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137227070,9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141656992,6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141819542,1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147460631,7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154138576,2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145277798,5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152751525,6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164057160,7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172820650,0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181938318,3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191276220,8</w:t>
            </w:r>
          </w:p>
        </w:tc>
      </w:tr>
      <w:tr w:rsidR="00457C40" w:rsidRPr="00BE51B3" w:rsidTr="00BE51B3">
        <w:tc>
          <w:tcPr>
            <w:tcW w:w="1276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1. Налоговые доходы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94432801,0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92970086,1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121964122,8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122056056,7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126590650,9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133658506,4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141092477,9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132004527,7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139271020,6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150361297,3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158900979,5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167786054,8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176882226,9</w:t>
            </w:r>
          </w:p>
        </w:tc>
      </w:tr>
      <w:tr w:rsidR="00457C40" w:rsidRPr="00BE51B3" w:rsidTr="00BE51B3">
        <w:tc>
          <w:tcPr>
            <w:tcW w:w="1276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Налог на прибыль организаций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47996543,0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41702695,7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63416456,0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58638801,0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58699538,0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61751914,0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65704036,5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52797000,0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55964820,0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62575252,9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66142042,3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69912138,7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73757306,3</w:t>
            </w:r>
          </w:p>
        </w:tc>
      </w:tr>
      <w:tr w:rsidR="00457C40" w:rsidRPr="00BE51B3" w:rsidTr="00BE51B3">
        <w:tc>
          <w:tcPr>
            <w:tcW w:w="1276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22632609,9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24510681,5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27663650,8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23252356,0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31298747,1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33207970,7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35399696,8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37496876,1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39716663,7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42007963,5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44440489,1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46890239,9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49380544,6</w:t>
            </w:r>
          </w:p>
        </w:tc>
      </w:tr>
      <w:tr w:rsidR="00457C40" w:rsidRPr="00BE51B3" w:rsidTr="00BE51B3">
        <w:tc>
          <w:tcPr>
            <w:tcW w:w="1276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Акцизы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6631909,7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7347872,8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7703150,3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9579041,0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10239737,5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11216821,0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11301591,4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11753655,1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12223801,3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12712753,3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13221263,4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13750114,0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14300118,5</w:t>
            </w:r>
          </w:p>
        </w:tc>
      </w:tr>
      <w:tr w:rsidR="00457C40" w:rsidRPr="00BE51B3" w:rsidTr="00BE51B3">
        <w:tc>
          <w:tcPr>
            <w:tcW w:w="1276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Налог на имущество организаций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14189736,1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16161255,7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19550499,5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20742223,0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22592088,6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23676508,8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24836657,8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26053654,0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27408444,0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29052950,7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31028551,3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33107464,2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35259449,4</w:t>
            </w:r>
          </w:p>
        </w:tc>
      </w:tr>
      <w:tr w:rsidR="00457C40" w:rsidRPr="00BE51B3" w:rsidTr="00BE51B3">
        <w:tc>
          <w:tcPr>
            <w:tcW w:w="1276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2. Неналоговые доходы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5452466,8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4334873,9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3734063,0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6279601,3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1712281,9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1720183,4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1739516,3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1774343,1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1781537,8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1788855,1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1796299,4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1803875,1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1811587,6</w:t>
            </w:r>
          </w:p>
        </w:tc>
      </w:tr>
      <w:tr w:rsidR="00457C40" w:rsidRPr="00BE51B3" w:rsidTr="00BE51B3">
        <w:tc>
          <w:tcPr>
            <w:tcW w:w="1276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3. Безвозмездные поступления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9580100,4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7893745,5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11528885,1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13321334,6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13516609,3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12081941,9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11306582,0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11498927,7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11698967,2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11907008,3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12123371,1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12348388,4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12582406,3</w:t>
            </w:r>
          </w:p>
        </w:tc>
      </w:tr>
      <w:tr w:rsidR="00457C40" w:rsidRPr="00BE51B3" w:rsidTr="00BE51B3">
        <w:tc>
          <w:tcPr>
            <w:tcW w:w="1276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В том числе: из федерального бюджета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8568589,0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7578093,8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10644772,0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12014835,6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12339082,6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10823643,0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10879675,6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11072021,3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11272060,8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11480101,9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11696464,7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11921482,0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12155499,9</w:t>
            </w:r>
          </w:p>
        </w:tc>
      </w:tr>
      <w:tr w:rsidR="00457C40" w:rsidRPr="00BE51B3" w:rsidTr="00BE51B3">
        <w:tc>
          <w:tcPr>
            <w:tcW w:w="1276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Дотации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860973,1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1145464,8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3023431,3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</w:tr>
      <w:tr w:rsidR="00457C40" w:rsidRPr="00BE51B3" w:rsidTr="00BE51B3">
        <w:tc>
          <w:tcPr>
            <w:tcW w:w="1276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Субсидии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3256290,6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2764531,4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2900339,4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4048453,4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5306245,1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4044823,9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</w:tr>
      <w:tr w:rsidR="00457C40" w:rsidRPr="00BE51B3" w:rsidTr="00BE51B3">
        <w:tc>
          <w:tcPr>
            <w:tcW w:w="1276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Субвенции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3365037,4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3271257,6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3308408,3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4006607,3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4736973,0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4739439,5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4808642,6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5000988,3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5201027,8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5409068,9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5625431,7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5850449,0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6084466,9</w:t>
            </w:r>
          </w:p>
        </w:tc>
      </w:tr>
      <w:tr w:rsidR="00457C40" w:rsidRPr="00BE51B3" w:rsidTr="00BE51B3">
        <w:tc>
          <w:tcPr>
            <w:tcW w:w="1276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1086287,9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396840,0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1412593,0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2511608,5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847698,1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591213,2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</w:tr>
      <w:tr w:rsidR="00457C40" w:rsidRPr="00BE51B3" w:rsidTr="00BE51B3">
        <w:tc>
          <w:tcPr>
            <w:tcW w:w="1276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Расходы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108157301,2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113159528,8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124021525,8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141011685,2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149517718,1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155583353,1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158423536,0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153317908,6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159790048,3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165548232,2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174443692,5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183634217,6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193098897,7</w:t>
            </w:r>
          </w:p>
        </w:tc>
      </w:tr>
      <w:tr w:rsidR="00457C40" w:rsidRPr="00BE51B3" w:rsidTr="00BE51B3">
        <w:tc>
          <w:tcPr>
            <w:tcW w:w="1276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1. Межбюджетные трансферты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41060733,2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44468399,3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47018051,1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48719515,0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51658348,0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53754024,0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54735306,7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52971313,3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55207436,5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57196888,1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60270268,3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63445593,2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66715638,7</w:t>
            </w:r>
          </w:p>
        </w:tc>
      </w:tr>
      <w:tr w:rsidR="00457C40" w:rsidRPr="00BE51B3" w:rsidTr="00BE51B3">
        <w:tc>
          <w:tcPr>
            <w:tcW w:w="1276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2. Расходы без учета межбюджетных трансфертов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67096568,0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68691129,5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77003474,7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92292170,2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97859370,1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101829329,1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103688229,3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100346595,4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104582611,8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108351344,1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114173424,3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120188624,4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126383259,0</w:t>
            </w:r>
          </w:p>
        </w:tc>
      </w:tr>
      <w:tr w:rsidR="00457C40" w:rsidRPr="00BE51B3" w:rsidTr="00BE51B3">
        <w:tc>
          <w:tcPr>
            <w:tcW w:w="1276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Дефицит/профицит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1308067,0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-7960823,3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13205545,1</w:t>
            </w:r>
          </w:p>
        </w:tc>
        <w:tc>
          <w:tcPr>
            <w:tcW w:w="1276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645307,4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-7698176,0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-8122721,4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-4284959,8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-8040110,1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-7038522,7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-1491071,5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-1623042,5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-1695899,3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-1822676,9</w:t>
            </w:r>
          </w:p>
        </w:tc>
      </w:tr>
    </w:tbl>
    <w:p w:rsidR="00457C40" w:rsidRPr="00BE51B3" w:rsidRDefault="00457C40">
      <w:pPr>
        <w:rPr>
          <w:rFonts w:ascii="Times New Roman" w:hAnsi="Times New Roman" w:cs="Times New Roman"/>
          <w:sz w:val="16"/>
          <w:szCs w:val="16"/>
        </w:rPr>
        <w:sectPr w:rsidR="00457C40" w:rsidRPr="00BE51B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jc w:val="right"/>
        <w:outlineLvl w:val="2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(таблица 2)</w:t>
      </w: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Основные параметры областного бюджета Ленинградской области</w:t>
      </w:r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на период до 2028 года</w:t>
      </w:r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вариант 2 (базовый)</w:t>
      </w:r>
    </w:p>
    <w:p w:rsidR="00457C40" w:rsidRPr="00BE51B3" w:rsidRDefault="00457C40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тыс. руб.</w:t>
      </w:r>
    </w:p>
    <w:p w:rsidR="00457C40" w:rsidRPr="00BE51B3" w:rsidRDefault="00457C40">
      <w:pPr>
        <w:spacing w:after="1"/>
        <w:rPr>
          <w:rFonts w:ascii="Times New Roman" w:hAnsi="Times New Roman" w:cs="Times New Roman"/>
          <w:sz w:val="16"/>
          <w:szCs w:val="16"/>
        </w:rPr>
      </w:pPr>
    </w:p>
    <w:tbl>
      <w:tblPr>
        <w:tblW w:w="1573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1072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992"/>
        <w:gridCol w:w="1054"/>
        <w:gridCol w:w="1134"/>
      </w:tblGrid>
      <w:tr w:rsidR="00457C40" w:rsidRPr="00BE51B3" w:rsidTr="00BE51B3">
        <w:tc>
          <w:tcPr>
            <w:tcW w:w="1277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Показатель</w:t>
            </w:r>
          </w:p>
        </w:tc>
        <w:tc>
          <w:tcPr>
            <w:tcW w:w="107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2016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2017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2018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2019 год</w:t>
            </w:r>
          </w:p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(оценка)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2020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105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</w:tr>
      <w:tr w:rsidR="00457C40" w:rsidRPr="00BE51B3" w:rsidTr="00BE51B3">
        <w:tc>
          <w:tcPr>
            <w:tcW w:w="1277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Доходы</w:t>
            </w:r>
          </w:p>
        </w:tc>
        <w:tc>
          <w:tcPr>
            <w:tcW w:w="107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109465368,2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105198705,5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137227070,9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141656992,6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147505260,0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154864784,2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163244635,5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154836750,5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163557160,2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176785837,7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187168503,9</w:t>
            </w:r>
          </w:p>
        </w:tc>
        <w:tc>
          <w:tcPr>
            <w:tcW w:w="105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198443567,4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210416834,6</w:t>
            </w:r>
          </w:p>
        </w:tc>
      </w:tr>
      <w:tr w:rsidR="00457C40" w:rsidRPr="00BE51B3" w:rsidTr="00BE51B3">
        <w:tc>
          <w:tcPr>
            <w:tcW w:w="1277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1. Налоговые доходы</w:t>
            </w:r>
          </w:p>
        </w:tc>
        <w:tc>
          <w:tcPr>
            <w:tcW w:w="107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94432801,0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92970086,1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121964122,8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122056056,7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132186317,5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140973350,8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150106996,8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141499171,1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150011967,8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163024902,0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173183369,4</w:t>
            </w:r>
          </w:p>
        </w:tc>
        <w:tc>
          <w:tcPr>
            <w:tcW w:w="105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184225440,9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195956718,1</w:t>
            </w:r>
          </w:p>
        </w:tc>
      </w:tr>
      <w:tr w:rsidR="00457C40" w:rsidRPr="00BE51B3" w:rsidTr="00BE51B3">
        <w:tc>
          <w:tcPr>
            <w:tcW w:w="1277" w:type="dxa"/>
          </w:tcPr>
          <w:p w:rsidR="00457C40" w:rsidRPr="00BE51B3" w:rsidRDefault="00457C40" w:rsidP="00BE51B3">
            <w:pPr>
              <w:pStyle w:val="ConsPlusNormal"/>
              <w:ind w:left="-12" w:hanging="50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Налог на прибыль организаций</w:t>
            </w:r>
          </w:p>
        </w:tc>
        <w:tc>
          <w:tcPr>
            <w:tcW w:w="107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47996543,0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41702695,7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63416456,0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58638801,0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62527931,3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65968342,0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70190316,0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57282300,0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60891084,9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68857071,5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73677066,5</w:t>
            </w:r>
          </w:p>
        </w:tc>
        <w:tc>
          <w:tcPr>
            <w:tcW w:w="105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78981815,3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84826469,7</w:t>
            </w:r>
          </w:p>
        </w:tc>
      </w:tr>
      <w:tr w:rsidR="00457C40" w:rsidRPr="00BE51B3" w:rsidTr="00BE51B3">
        <w:tc>
          <w:tcPr>
            <w:tcW w:w="1277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07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22632609,9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24510681,5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27663650,8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23252356,0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31510458,0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33621658,0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35975174,0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38183436,2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40564460,1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43155101,3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45835958,4</w:t>
            </w:r>
          </w:p>
        </w:tc>
        <w:tc>
          <w:tcPr>
            <w:tcW w:w="105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48694475,5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51684394,3</w:t>
            </w:r>
          </w:p>
        </w:tc>
      </w:tr>
      <w:tr w:rsidR="00457C40" w:rsidRPr="00BE51B3" w:rsidTr="00BE51B3">
        <w:tc>
          <w:tcPr>
            <w:tcW w:w="1277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Акцизы</w:t>
            </w:r>
          </w:p>
        </w:tc>
        <w:tc>
          <w:tcPr>
            <w:tcW w:w="107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6631909,7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7347872,8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7703150,3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9579041,0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10778671,0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11807180,0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11896412,0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12372268,5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12867159,2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13381845,6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13917119,4</w:t>
            </w:r>
          </w:p>
        </w:tc>
        <w:tc>
          <w:tcPr>
            <w:tcW w:w="105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14473804,2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15052756,4</w:t>
            </w:r>
          </w:p>
        </w:tc>
      </w:tr>
      <w:tr w:rsidR="00457C40" w:rsidRPr="00BE51B3" w:rsidTr="00BE51B3">
        <w:tc>
          <w:tcPr>
            <w:tcW w:w="1277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Налог на имущество организаций</w:t>
            </w:r>
          </w:p>
        </w:tc>
        <w:tc>
          <w:tcPr>
            <w:tcW w:w="107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14189736,1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16161255,7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19550499,5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20742223,0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23508000,0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25553196,0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27852984,0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29412751,1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31383405,4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33266409,8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35328927,2</w:t>
            </w:r>
          </w:p>
        </w:tc>
        <w:tc>
          <w:tcPr>
            <w:tcW w:w="105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37589978,5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39845377,2</w:t>
            </w:r>
          </w:p>
        </w:tc>
      </w:tr>
      <w:tr w:rsidR="00457C40" w:rsidRPr="00BE51B3" w:rsidTr="00BE51B3">
        <w:tc>
          <w:tcPr>
            <w:tcW w:w="1277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2. Неналоговые доходы</w:t>
            </w:r>
          </w:p>
        </w:tc>
        <w:tc>
          <w:tcPr>
            <w:tcW w:w="107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5452466,8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4334873,9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3734063,0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6279601,3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1802333,2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1809491,5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1831056,7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1838651,7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1846225,2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1853927,4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1861763,4</w:t>
            </w:r>
          </w:p>
        </w:tc>
        <w:tc>
          <w:tcPr>
            <w:tcW w:w="105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1869738,1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1877710,2</w:t>
            </w:r>
          </w:p>
        </w:tc>
      </w:tr>
      <w:tr w:rsidR="00457C40" w:rsidRPr="00BE51B3" w:rsidTr="00BE51B3">
        <w:tc>
          <w:tcPr>
            <w:tcW w:w="1277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3. Безвозмездные поступления</w:t>
            </w:r>
          </w:p>
        </w:tc>
        <w:tc>
          <w:tcPr>
            <w:tcW w:w="107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9580100,4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7893745,5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11528885,1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13321334,6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13516609,3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12081941,9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11306582,0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11498927,7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11698967,2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11907008,3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12123371,1</w:t>
            </w:r>
          </w:p>
        </w:tc>
        <w:tc>
          <w:tcPr>
            <w:tcW w:w="105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12348388,4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12582406,3</w:t>
            </w:r>
          </w:p>
        </w:tc>
      </w:tr>
      <w:tr w:rsidR="00457C40" w:rsidRPr="00BE51B3" w:rsidTr="00BE51B3">
        <w:tc>
          <w:tcPr>
            <w:tcW w:w="1277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В том числе: из федерального бюджета</w:t>
            </w:r>
          </w:p>
        </w:tc>
        <w:tc>
          <w:tcPr>
            <w:tcW w:w="107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8568589,0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7578093,8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10644772,0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12014835,6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12339082,6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10823643,0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10879675,6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11072021,3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11272060,8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11480101,9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11696464,7</w:t>
            </w:r>
          </w:p>
        </w:tc>
        <w:tc>
          <w:tcPr>
            <w:tcW w:w="105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11921482,0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12155499,9</w:t>
            </w:r>
          </w:p>
        </w:tc>
      </w:tr>
      <w:tr w:rsidR="00457C40" w:rsidRPr="00BE51B3" w:rsidTr="00BE51B3">
        <w:tc>
          <w:tcPr>
            <w:tcW w:w="1277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Дотации</w:t>
            </w:r>
          </w:p>
        </w:tc>
        <w:tc>
          <w:tcPr>
            <w:tcW w:w="107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860973,1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1145464,8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3023431,3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05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</w:tr>
      <w:tr w:rsidR="00457C40" w:rsidRPr="00BE51B3" w:rsidTr="00BE51B3">
        <w:tc>
          <w:tcPr>
            <w:tcW w:w="1277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Субсидии</w:t>
            </w:r>
          </w:p>
        </w:tc>
        <w:tc>
          <w:tcPr>
            <w:tcW w:w="107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3256290,6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2764531,4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2900339,4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4048453,4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5306245,1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4044823,9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  <w:tc>
          <w:tcPr>
            <w:tcW w:w="105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</w:tr>
      <w:tr w:rsidR="00457C40" w:rsidRPr="00BE51B3" w:rsidTr="00BE51B3">
        <w:tc>
          <w:tcPr>
            <w:tcW w:w="1277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Субвенции</w:t>
            </w:r>
          </w:p>
        </w:tc>
        <w:tc>
          <w:tcPr>
            <w:tcW w:w="107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3365037,4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3271257,6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3308408,3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4006607,3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4736973,0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4739439,5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4808642,6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5000988,3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5201027,8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5409068,9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5625431,7</w:t>
            </w:r>
          </w:p>
        </w:tc>
        <w:tc>
          <w:tcPr>
            <w:tcW w:w="105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5850449,0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6084466,9</w:t>
            </w:r>
          </w:p>
        </w:tc>
      </w:tr>
      <w:tr w:rsidR="00457C40" w:rsidRPr="00BE51B3" w:rsidTr="00BE51B3">
        <w:tc>
          <w:tcPr>
            <w:tcW w:w="1277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Иные межбюджетные трансферты</w:t>
            </w:r>
          </w:p>
        </w:tc>
        <w:tc>
          <w:tcPr>
            <w:tcW w:w="107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1086287,9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396840,0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1412593,0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2511608,5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847698,1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591213,2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  <w:tc>
          <w:tcPr>
            <w:tcW w:w="105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</w:tr>
      <w:tr w:rsidR="00457C40" w:rsidRPr="00BE51B3" w:rsidTr="00BE51B3">
        <w:tc>
          <w:tcPr>
            <w:tcW w:w="1277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Расходы</w:t>
            </w:r>
          </w:p>
        </w:tc>
        <w:tc>
          <w:tcPr>
            <w:tcW w:w="107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108157301,2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113159528,8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124021525,8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141011685,2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155544579,0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163431754,7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167802777,1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163454132,6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171141313,3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178398639,3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188936305,5</w:t>
            </w:r>
          </w:p>
        </w:tc>
        <w:tc>
          <w:tcPr>
            <w:tcW w:w="105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200302868,9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212433086,1</w:t>
            </w:r>
          </w:p>
        </w:tc>
      </w:tr>
      <w:tr w:rsidR="00457C40" w:rsidRPr="00BE51B3" w:rsidTr="00BE51B3">
        <w:tc>
          <w:tcPr>
            <w:tcW w:w="1277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1. Межбюджетные трансферты</w:t>
            </w:r>
          </w:p>
        </w:tc>
        <w:tc>
          <w:tcPr>
            <w:tcW w:w="107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41060733,2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44468399,3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47018051,1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48719515,0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55479309,6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57454474,4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57612774,4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57104253,1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59183137,5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61713536,7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67966929,2</w:t>
            </w:r>
          </w:p>
        </w:tc>
        <w:tc>
          <w:tcPr>
            <w:tcW w:w="105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74933717,3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80989306,7</w:t>
            </w:r>
          </w:p>
        </w:tc>
      </w:tr>
      <w:tr w:rsidR="00457C40" w:rsidRPr="00BE51B3" w:rsidTr="00BE51B3">
        <w:tc>
          <w:tcPr>
            <w:tcW w:w="1277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2. Расходы без учета межбюджетных трансфертов</w:t>
            </w:r>
          </w:p>
        </w:tc>
        <w:tc>
          <w:tcPr>
            <w:tcW w:w="107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67096568,0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68691129,5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77003474,7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92292170,2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100065269,4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105977280,3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110190002,7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106349879,4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111958175,8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116685102,6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120969376,2</w:t>
            </w:r>
          </w:p>
        </w:tc>
        <w:tc>
          <w:tcPr>
            <w:tcW w:w="105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125369151,6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131443779,4</w:t>
            </w:r>
          </w:p>
        </w:tc>
      </w:tr>
      <w:tr w:rsidR="00457C40" w:rsidRPr="00BE51B3" w:rsidTr="00BE51B3">
        <w:tc>
          <w:tcPr>
            <w:tcW w:w="1277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Дефицит/профицит</w:t>
            </w:r>
          </w:p>
        </w:tc>
        <w:tc>
          <w:tcPr>
            <w:tcW w:w="107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1308067,0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-7960823,3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13205545,1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645307,4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-8039319,0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-8566970,5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-4558141,6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-8617382,1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-7584153,0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-1612801,5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-1767801,5</w:t>
            </w:r>
          </w:p>
        </w:tc>
        <w:tc>
          <w:tcPr>
            <w:tcW w:w="105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-1859301,5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-2016251,5</w:t>
            </w:r>
          </w:p>
        </w:tc>
      </w:tr>
    </w:tbl>
    <w:p w:rsidR="00457C40" w:rsidRPr="00BE51B3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  <w:bookmarkStart w:id="4" w:name="P984"/>
      <w:bookmarkEnd w:id="4"/>
      <w:r w:rsidRPr="00BE51B3">
        <w:rPr>
          <w:rFonts w:ascii="Times New Roman" w:hAnsi="Times New Roman" w:cs="Times New Roman"/>
          <w:sz w:val="16"/>
          <w:szCs w:val="16"/>
        </w:rPr>
        <w:t>Приложение 2</w:t>
      </w: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к Бюджетному прогнозу</w:t>
      </w: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jc w:val="right"/>
        <w:outlineLvl w:val="2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(таблица 1)</w:t>
      </w: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 xml:space="preserve">Основные параметры консолидированного бюджета </w:t>
      </w:r>
      <w:proofErr w:type="gramStart"/>
      <w:r w:rsidRPr="00BE51B3">
        <w:rPr>
          <w:rFonts w:ascii="Times New Roman" w:hAnsi="Times New Roman" w:cs="Times New Roman"/>
          <w:sz w:val="16"/>
          <w:szCs w:val="16"/>
        </w:rPr>
        <w:t>Ленинградской</w:t>
      </w:r>
      <w:proofErr w:type="gramEnd"/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области на период до 2028 года</w:t>
      </w:r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вариант 1 (консервативный)</w:t>
      </w:r>
    </w:p>
    <w:p w:rsidR="00457C40" w:rsidRPr="00BE51B3" w:rsidRDefault="00457C40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тыс. руб.</w:t>
      </w:r>
    </w:p>
    <w:p w:rsidR="00457C40" w:rsidRPr="00BE51B3" w:rsidRDefault="00457C40">
      <w:pPr>
        <w:spacing w:after="1"/>
        <w:rPr>
          <w:rFonts w:ascii="Times New Roman" w:hAnsi="Times New Roman" w:cs="Times New Roman"/>
          <w:sz w:val="16"/>
          <w:szCs w:val="16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992"/>
        <w:gridCol w:w="1134"/>
        <w:gridCol w:w="1134"/>
        <w:gridCol w:w="1134"/>
        <w:gridCol w:w="992"/>
        <w:gridCol w:w="1134"/>
        <w:gridCol w:w="1134"/>
        <w:gridCol w:w="1134"/>
        <w:gridCol w:w="1134"/>
        <w:gridCol w:w="1134"/>
        <w:gridCol w:w="1134"/>
        <w:gridCol w:w="1134"/>
        <w:gridCol w:w="992"/>
      </w:tblGrid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Показатель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2016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2017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2018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2019 год (оценка)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2020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Доходы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136684298,9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133890634,9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168793398,7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176062605,0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174214418,6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180948733,0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189054698,8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181693905,2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190776749,0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203743628,8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214261273,3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225154493,8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236303263,8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1. Налоговые доходы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115316184,6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115476152,3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147322866,1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150026500,0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154287643,5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162477954,2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171353719,0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163771556,0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172624629,4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185353007,8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195623097,0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206259371,3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217141453,9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Налог на прибыль организаций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47996543,0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41702695,7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63416456,0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58638800,0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58699538,0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61751914,0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65704036,5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52797000,0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55964820,0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62575252,9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66142042,3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69912138,7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73757306,3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 xml:space="preserve">Налог на </w:t>
            </w:r>
            <w:r w:rsidRPr="00BE51B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доходы физических лиц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35552847,4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38511279,3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43665007,9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46454373,0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49445098,1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52461249,1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55923691,6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59236771,1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62743544,6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66363291,5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70206143,9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74076208,4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78010338,9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Налог на имущество организаций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14189736,1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16161255,7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19550499,5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20742222,5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22592088,6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23676508,8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24836657,8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26053654,0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27408444,0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29052950,7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31028551,3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33107464,2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35259449,4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Акцизы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7215678,4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7819985,6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8218380,1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10172555,0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10812670,0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11866141,3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11950911,7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12428948,2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12926106,0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13443150,3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13980876,3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14540111,3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15121715,8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2. Неналоговые доходы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12021597,8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10760385,0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10359094,8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12976194,0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6410165,8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6388836,9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6394397,8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6423421,5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6453152,4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6483612,7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6514805,2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6546734,1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6579403,6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3. Безвозмездные поступления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9346516,5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7654097,6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11111437,8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13059911,0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13516609,3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12081941,9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11306582,0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11498927,7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11698967,2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11907008,3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12123371,1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12348388,4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12582406,3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В том числе: из федерального бюджета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8568589,0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7578093,8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10644772,0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12014835,6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12339082,6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10823643,0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10879675,6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11072021,3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11272060,8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11480101,9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11696464,7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11921482,0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12155499,9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Дотации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860973,1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1145464,8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3023431,3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Субсидии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3256290,6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2764531,4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2900339,4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4048453,4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5306245,1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4044823,9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Субвенции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3365037,4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3271257,6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3308408,3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4006607,3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4736973,0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4739439,5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4808642,6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5000988,3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5201027,8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5409068,9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5625431,7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5850449,0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6084466,9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1086287,9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396840,0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1412593,0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2511608,5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847698,1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591213,2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Расходы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133820400,4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142545927,4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154142555,4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174628456,0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184177682,8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191249607,3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195453631,0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191922623,4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199712730,3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205623627,7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216302866,1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227282554,8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238585216,6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Дефицит/профицит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2863898,5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-8655292,5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14650843,3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1434149,0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-9963264,2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-10300874,3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-6398932,2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-10228718,1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-8935981,3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-1879998,9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-2041592,8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-2128061,1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-2281952,7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0,9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</w:tr>
    </w:tbl>
    <w:p w:rsidR="00457C40" w:rsidRPr="00BE51B3" w:rsidRDefault="00457C40">
      <w:pPr>
        <w:rPr>
          <w:rFonts w:ascii="Times New Roman" w:hAnsi="Times New Roman" w:cs="Times New Roman"/>
          <w:sz w:val="16"/>
          <w:szCs w:val="16"/>
        </w:rPr>
        <w:sectPr w:rsidR="00457C40" w:rsidRPr="00BE51B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457C40" w:rsidRPr="00BE51B3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jc w:val="right"/>
        <w:outlineLvl w:val="2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(таблица 2)</w:t>
      </w: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 xml:space="preserve">Основные параметры консолидированного бюджета </w:t>
      </w:r>
      <w:proofErr w:type="gramStart"/>
      <w:r w:rsidRPr="00BE51B3">
        <w:rPr>
          <w:rFonts w:ascii="Times New Roman" w:hAnsi="Times New Roman" w:cs="Times New Roman"/>
          <w:sz w:val="16"/>
          <w:szCs w:val="16"/>
        </w:rPr>
        <w:t>Ленинградской</w:t>
      </w:r>
      <w:proofErr w:type="gramEnd"/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области на период до 2028 года</w:t>
      </w:r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вариант 2 (базовый)</w:t>
      </w:r>
    </w:p>
    <w:p w:rsidR="00457C40" w:rsidRPr="00BE51B3" w:rsidRDefault="00457C40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тыс. руб.</w:t>
      </w:r>
    </w:p>
    <w:p w:rsidR="00457C40" w:rsidRPr="00BE51B3" w:rsidRDefault="00457C40">
      <w:pPr>
        <w:spacing w:after="1"/>
        <w:rPr>
          <w:rFonts w:ascii="Times New Roman" w:hAnsi="Times New Roman" w:cs="Times New Roman"/>
          <w:sz w:val="16"/>
          <w:szCs w:val="16"/>
        </w:rPr>
      </w:pP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134"/>
        <w:gridCol w:w="1134"/>
        <w:gridCol w:w="1134"/>
        <w:gridCol w:w="1134"/>
        <w:gridCol w:w="1134"/>
        <w:gridCol w:w="992"/>
        <w:gridCol w:w="1134"/>
        <w:gridCol w:w="1134"/>
        <w:gridCol w:w="1134"/>
        <w:gridCol w:w="1134"/>
        <w:gridCol w:w="992"/>
        <w:gridCol w:w="992"/>
        <w:gridCol w:w="993"/>
      </w:tblGrid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Показатель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2016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2017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2018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2019 год (оценка)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2020 год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Доходы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136684298,9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133890634,9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168793398,7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176062605,0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180812323,4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189370316,3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199278827,9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192659305,0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203303597,8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218603786,0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231142239,0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244710648,5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259094837,3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1. Налоговые доходы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115316184,6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115476152,3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147322866,1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150026500,0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160548171,2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170563282,7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181241300,7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174398901,8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184811859,3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199871943,2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212161198,9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225470981,7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239586763,8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Налог на прибыль организаций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47996543,0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41702695,7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63416456,0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58638800,0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62527931,3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65968342,0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70190316,0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57282300,0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60891084,9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68857071,5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73677066,5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78981815,3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84826469,7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35552847,4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38511279,3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43665007,9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46454373,0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49777566,0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53112663,0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56830549,0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60316687,4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64075372,2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68164999,0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72396949,0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76909735,4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81220288,0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Налог на имущество организаций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14189736,1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16161255,7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19550499,5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20742222,5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23508000,0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25553196,0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27852984,0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29412751,1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31383405,4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33266409,8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35328927,2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37589978,5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39845377,2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Акцизы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7215678,4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7819985,6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8218380,1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10172555,0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11397684,0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12494488,0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12583720,0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13087068,8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13610551,6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14154973,6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14721172,6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15310019,5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15922420,2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2. Неналоговые доходы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12021597,8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10760385,0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10359094,8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12976194,0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6747542,9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6725091,7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6730945,2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6761475,5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6792771,3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6824834,5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6857669,0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6891278,4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6925667,2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3. Безвозмездные поступления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9346516,5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7654097,6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11111437,8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13059911,0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13516609,3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12081941,9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11306582,0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11498927,7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11698967,2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11907008,3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12123371,1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12348388,4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12582406,3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В том числе: из федерального бюджета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8568589,0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7578093,8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10644772,0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12014835,6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12339082,6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10823643,0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10879675,6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11072021,3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11272060,8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11480101,9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11696464,7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11921482,0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12155499,9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Дотации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860973,1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1145464,8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3023431,3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1448166,4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Субсидии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3256290,6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2764531,4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2900339,4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4048453,4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5306245,1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4044823,9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3945712,8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Субвенции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3365037,4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3271257,6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3308408,3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4006607,3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4736973,0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4739439,5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4808642,6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5000988,3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5201027,8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5409068,9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5625431,7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5850449,0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6084466,9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1086287,9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396840,0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1412593,0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2511608,5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847698,1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591213,2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677153,8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Расходы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133820400,4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142545927,4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154142555,4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174628456,0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191184657,7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200184907,1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206045828,8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203547043,7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212864668,9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220629414,5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233354329,6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247034271,1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261609264,1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Дефицит/профицит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2863898,5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-8655292,5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14650843,3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1434149,0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-10372334,3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-10814590,8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-6767000,9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-10887738,7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-9561071,1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-2025628,4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-2212090,6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-2323622,6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-2514426,8</w:t>
            </w:r>
          </w:p>
        </w:tc>
      </w:tr>
      <w:tr w:rsidR="00457C40" w:rsidRPr="00BE51B3" w:rsidTr="00BE51B3">
        <w:tc>
          <w:tcPr>
            <w:tcW w:w="1055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6,2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1,0</w:t>
            </w:r>
          </w:p>
        </w:tc>
      </w:tr>
    </w:tbl>
    <w:p w:rsidR="00457C40" w:rsidRPr="00BE51B3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  <w:bookmarkStart w:id="5" w:name="P1483"/>
      <w:bookmarkEnd w:id="5"/>
      <w:r w:rsidRPr="00BE51B3">
        <w:rPr>
          <w:rFonts w:ascii="Times New Roman" w:hAnsi="Times New Roman" w:cs="Times New Roman"/>
          <w:sz w:val="16"/>
          <w:szCs w:val="16"/>
        </w:rPr>
        <w:t>Приложение 3</w:t>
      </w: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к Бюджетному прогнозу</w:t>
      </w:r>
    </w:p>
    <w:p w:rsidR="00457C40" w:rsidRPr="00BE51B3" w:rsidRDefault="00457C40">
      <w:pPr>
        <w:pStyle w:val="ConsPlusNormal"/>
        <w:jc w:val="right"/>
        <w:outlineLvl w:val="2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(таблица 1)</w:t>
      </w: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Прогноз основных характеристик областного бюджета</w:t>
      </w:r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Ленинградской области на период до 2028 года</w:t>
      </w:r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вариант 1 (консервативный)</w:t>
      </w:r>
    </w:p>
    <w:p w:rsidR="00457C40" w:rsidRPr="00BE51B3" w:rsidRDefault="00457C40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 w:rsidRPr="00BE51B3">
        <w:rPr>
          <w:rFonts w:ascii="Times New Roman" w:hAnsi="Times New Roman" w:cs="Times New Roman"/>
          <w:sz w:val="16"/>
          <w:szCs w:val="16"/>
        </w:rPr>
        <w:t>млрд</w:t>
      </w:r>
      <w:proofErr w:type="gramEnd"/>
      <w:r w:rsidRPr="00BE51B3">
        <w:rPr>
          <w:rFonts w:ascii="Times New Roman" w:hAnsi="Times New Roman" w:cs="Times New Roman"/>
          <w:sz w:val="16"/>
          <w:szCs w:val="16"/>
        </w:rPr>
        <w:t xml:space="preserve"> руб.</w:t>
      </w:r>
    </w:p>
    <w:p w:rsidR="00457C40" w:rsidRPr="00BE51B3" w:rsidRDefault="00457C40">
      <w:pPr>
        <w:spacing w:after="1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851"/>
        <w:gridCol w:w="850"/>
        <w:gridCol w:w="851"/>
        <w:gridCol w:w="1275"/>
        <w:gridCol w:w="851"/>
        <w:gridCol w:w="992"/>
        <w:gridCol w:w="992"/>
        <w:gridCol w:w="993"/>
        <w:gridCol w:w="850"/>
        <w:gridCol w:w="851"/>
        <w:gridCol w:w="850"/>
        <w:gridCol w:w="992"/>
        <w:gridCol w:w="993"/>
      </w:tblGrid>
      <w:tr w:rsidR="00457C40" w:rsidRPr="00BE51B3" w:rsidTr="00BE51B3">
        <w:tc>
          <w:tcPr>
            <w:tcW w:w="247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Показатель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2016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2017 год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2018 год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2019 год (оценка)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2020 год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</w:tr>
      <w:tr w:rsidR="00457C40" w:rsidRPr="00BE51B3" w:rsidTr="00BE51B3">
        <w:tc>
          <w:tcPr>
            <w:tcW w:w="2472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Доходы, всего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109,5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105,2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137,2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141,7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141,8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147,5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154,1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145,3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152,8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164,1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172,8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181,9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191,3</w:t>
            </w:r>
          </w:p>
        </w:tc>
      </w:tr>
      <w:tr w:rsidR="00457C40" w:rsidRPr="00BE51B3" w:rsidTr="00BE51B3">
        <w:tc>
          <w:tcPr>
            <w:tcW w:w="2472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 xml:space="preserve"> % к ВРП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10,7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13,0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12,6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11,8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11,5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11,3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9,7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9,5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9,4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9,2</w:t>
            </w:r>
          </w:p>
        </w:tc>
      </w:tr>
      <w:tr w:rsidR="00457C40" w:rsidRPr="00BE51B3" w:rsidTr="00BE51B3">
        <w:tc>
          <w:tcPr>
            <w:tcW w:w="2472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Расходы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108,2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113,2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124,0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141,0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149,5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155,6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158,4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153,3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159,8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165,5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174,4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183,6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193,1</w:t>
            </w:r>
          </w:p>
        </w:tc>
      </w:tr>
      <w:tr w:rsidR="00457C40" w:rsidRPr="00BE51B3" w:rsidTr="00BE51B3">
        <w:tc>
          <w:tcPr>
            <w:tcW w:w="2472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 xml:space="preserve"> % к ВРП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11,5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11,7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12,5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12,5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12,1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11,6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10,4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10,1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9,6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9,5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9,3</w:t>
            </w:r>
          </w:p>
        </w:tc>
      </w:tr>
      <w:tr w:rsidR="00457C40" w:rsidRPr="00BE51B3" w:rsidTr="00BE51B3">
        <w:tc>
          <w:tcPr>
            <w:tcW w:w="2472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Дефицит/профицит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-8,0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13,2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-7,7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-8,1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-4,3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-8,0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-7,0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-1,4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-1,6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-1,7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-1,8</w:t>
            </w:r>
          </w:p>
        </w:tc>
      </w:tr>
      <w:tr w:rsidR="00457C40" w:rsidRPr="00BE51B3" w:rsidTr="00BE51B3">
        <w:tc>
          <w:tcPr>
            <w:tcW w:w="2472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 xml:space="preserve"> % к ВРП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0,8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1,3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</w:tr>
      <w:tr w:rsidR="00457C40" w:rsidRPr="00BE51B3" w:rsidTr="00BE51B3">
        <w:tc>
          <w:tcPr>
            <w:tcW w:w="2472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Государственный долг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6,2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3,9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3,5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2,8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3,6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3,6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3,6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2,4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7,3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9,8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11,6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13,5</w:t>
            </w:r>
          </w:p>
        </w:tc>
      </w:tr>
      <w:tr w:rsidR="00457C40" w:rsidRPr="00BE51B3" w:rsidTr="00BE51B3">
        <w:tc>
          <w:tcPr>
            <w:tcW w:w="2472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 xml:space="preserve"> % к ВРП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1275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851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993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</w:tr>
    </w:tbl>
    <w:p w:rsidR="00457C40" w:rsidRPr="00BE51B3" w:rsidRDefault="00457C40">
      <w:pPr>
        <w:pStyle w:val="ConsPlusNormal"/>
        <w:jc w:val="right"/>
        <w:outlineLvl w:val="2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lastRenderedPageBreak/>
        <w:t>(таблица 2)</w:t>
      </w: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Прогноз основных характеристик областного бюджета</w:t>
      </w:r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Ленинградской области на период до 2028 года</w:t>
      </w:r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вариант 2 (базовый)</w:t>
      </w:r>
    </w:p>
    <w:p w:rsidR="00457C40" w:rsidRPr="00BE51B3" w:rsidRDefault="00457C40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 w:rsidRPr="00BE51B3">
        <w:rPr>
          <w:rFonts w:ascii="Times New Roman" w:hAnsi="Times New Roman" w:cs="Times New Roman"/>
          <w:sz w:val="16"/>
          <w:szCs w:val="16"/>
        </w:rPr>
        <w:t>млрд</w:t>
      </w:r>
      <w:proofErr w:type="gramEnd"/>
      <w:r w:rsidRPr="00BE51B3">
        <w:rPr>
          <w:rFonts w:ascii="Times New Roman" w:hAnsi="Times New Roman" w:cs="Times New Roman"/>
          <w:sz w:val="16"/>
          <w:szCs w:val="16"/>
        </w:rPr>
        <w:t xml:space="preserve"> руб.</w:t>
      </w:r>
    </w:p>
    <w:p w:rsidR="00457C40" w:rsidRPr="00BE51B3" w:rsidRDefault="00457C40">
      <w:pPr>
        <w:spacing w:after="1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850"/>
        <w:gridCol w:w="850"/>
        <w:gridCol w:w="850"/>
        <w:gridCol w:w="102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Показатель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2016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2017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2018 год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2019 год (оценка)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2020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</w:tr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Доходы, всего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109,5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105,2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137,2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141,7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147,5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154,9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163,2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154,8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163,6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176,8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187,2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198,4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210,4</w:t>
            </w:r>
          </w:p>
        </w:tc>
      </w:tr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 xml:space="preserve"> % к ВРП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13,0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10,4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10,2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10,1</w:t>
            </w:r>
          </w:p>
        </w:tc>
      </w:tr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Расходы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108,2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113,2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124,0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141,0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155,5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163,4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167,8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163,5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171,1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178,4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188,9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200,3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212,4</w:t>
            </w:r>
          </w:p>
        </w:tc>
      </w:tr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 xml:space="preserve"> % к ВРП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11,7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13,0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10,4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10,2</w:t>
            </w:r>
          </w:p>
        </w:tc>
      </w:tr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Дефицит/профицит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-8,0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13,2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-8,0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-8,5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-4,6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-8,7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-7,5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-2,0</w:t>
            </w:r>
          </w:p>
        </w:tc>
      </w:tr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 xml:space="preserve"> % к ВРП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1,3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</w:tr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Государственный долг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6,2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3,5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2,4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12,4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14,2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16,2</w:t>
            </w:r>
          </w:p>
        </w:tc>
      </w:tr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 xml:space="preserve"> % к ВРП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0,8</w:t>
            </w:r>
          </w:p>
        </w:tc>
      </w:tr>
    </w:tbl>
    <w:p w:rsidR="00A07FF4" w:rsidRDefault="00A07FF4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  <w:bookmarkStart w:id="6" w:name="P1758"/>
      <w:bookmarkEnd w:id="6"/>
    </w:p>
    <w:p w:rsidR="00A07FF4" w:rsidRDefault="00A07FF4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Приложение 4</w:t>
      </w: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к Бюджетному прогнозу</w:t>
      </w: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jc w:val="right"/>
        <w:outlineLvl w:val="2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(таблица 1)</w:t>
      </w: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Прогноз основных характеристик консолидированного бюджета</w:t>
      </w:r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Ленинградской области на период до 2028 года</w:t>
      </w:r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вариант 1 (консервативный)</w:t>
      </w:r>
    </w:p>
    <w:p w:rsidR="00457C40" w:rsidRPr="00BE51B3" w:rsidRDefault="00457C40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 w:rsidRPr="00BE51B3">
        <w:rPr>
          <w:rFonts w:ascii="Times New Roman" w:hAnsi="Times New Roman" w:cs="Times New Roman"/>
          <w:sz w:val="16"/>
          <w:szCs w:val="16"/>
        </w:rPr>
        <w:t>млрд</w:t>
      </w:r>
      <w:proofErr w:type="gramEnd"/>
      <w:r w:rsidRPr="00BE51B3">
        <w:rPr>
          <w:rFonts w:ascii="Times New Roman" w:hAnsi="Times New Roman" w:cs="Times New Roman"/>
          <w:sz w:val="16"/>
          <w:szCs w:val="16"/>
        </w:rPr>
        <w:t xml:space="preserve"> руб.</w:t>
      </w:r>
    </w:p>
    <w:p w:rsidR="00457C40" w:rsidRPr="00BE51B3" w:rsidRDefault="00457C40">
      <w:pPr>
        <w:spacing w:after="1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850"/>
        <w:gridCol w:w="850"/>
        <w:gridCol w:w="850"/>
        <w:gridCol w:w="102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Показатель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2016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2017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2018 год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2019 год (оценка)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2020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</w:tr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Доходы, всего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136,7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133,9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168,8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176,1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174,2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180,9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189,1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181,7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190,8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203,7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214,3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225,2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236,3</w:t>
            </w:r>
          </w:p>
        </w:tc>
      </w:tr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 xml:space="preserve"> % к ВРП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16,0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12,0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11,4</w:t>
            </w:r>
          </w:p>
        </w:tc>
      </w:tr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Расходы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133,8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142,5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154,1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174,6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184,2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191,2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195,5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191,9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199,7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205,6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216,3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227,3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238,6</w:t>
            </w:r>
          </w:p>
        </w:tc>
      </w:tr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 xml:space="preserve"> % к ВРП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14,6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13,0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11,5</w:t>
            </w:r>
          </w:p>
        </w:tc>
      </w:tr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Дефицит/профицит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-8,6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14,7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-10,0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-10,3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-6,4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-10,2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-8,9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-2,0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-2,1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-2,3</w:t>
            </w:r>
          </w:p>
        </w:tc>
      </w:tr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 xml:space="preserve"> % к ВРП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-0,3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1,4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</w:tr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Государственный и муниципальный долг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4,4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4,4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3,0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9,4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15,9</w:t>
            </w:r>
          </w:p>
        </w:tc>
      </w:tr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 xml:space="preserve"> % к ВРП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0,8</w:t>
            </w:r>
          </w:p>
        </w:tc>
      </w:tr>
    </w:tbl>
    <w:p w:rsidR="00457C40" w:rsidRPr="00BE51B3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jc w:val="right"/>
        <w:outlineLvl w:val="2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(таблица 2)</w:t>
      </w: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Прогноз основных характеристик консолидированного бюджета</w:t>
      </w:r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Ленинградской области на период до 2028 года</w:t>
      </w:r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вариант 2 (базовый)</w:t>
      </w:r>
    </w:p>
    <w:p w:rsidR="00457C40" w:rsidRPr="00BE51B3" w:rsidRDefault="00457C40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proofErr w:type="gramStart"/>
      <w:r w:rsidRPr="00BE51B3">
        <w:rPr>
          <w:rFonts w:ascii="Times New Roman" w:hAnsi="Times New Roman" w:cs="Times New Roman"/>
          <w:sz w:val="16"/>
          <w:szCs w:val="16"/>
        </w:rPr>
        <w:t>млрд</w:t>
      </w:r>
      <w:proofErr w:type="gramEnd"/>
      <w:r w:rsidRPr="00BE51B3">
        <w:rPr>
          <w:rFonts w:ascii="Times New Roman" w:hAnsi="Times New Roman" w:cs="Times New Roman"/>
          <w:sz w:val="16"/>
          <w:szCs w:val="16"/>
        </w:rPr>
        <w:t xml:space="preserve"> руб.</w:t>
      </w:r>
    </w:p>
    <w:p w:rsidR="00457C40" w:rsidRPr="00BE51B3" w:rsidRDefault="00457C40">
      <w:pPr>
        <w:spacing w:after="1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850"/>
        <w:gridCol w:w="850"/>
        <w:gridCol w:w="850"/>
        <w:gridCol w:w="102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Показатель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2016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2017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2018 год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2019 год (оценка)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2020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</w:tr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Доходы, всего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136,7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133,9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168,8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176,1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180,8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189,4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199,3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192,7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203,3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218,6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231,1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244,7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259,1</w:t>
            </w:r>
          </w:p>
        </w:tc>
      </w:tr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 xml:space="preserve"> % к ВРП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16,0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12,5</w:t>
            </w:r>
          </w:p>
        </w:tc>
      </w:tr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Расходы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133,8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142,5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154,1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174,6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191,2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200,2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206,0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203,5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212,9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220,6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233,4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247,0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261,6</w:t>
            </w:r>
          </w:p>
        </w:tc>
      </w:tr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 xml:space="preserve"> % к ВРП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14,6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15,0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13,4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13,0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12,6</w:t>
            </w:r>
          </w:p>
        </w:tc>
      </w:tr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Дефицит/профицит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-8,6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14,7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-10,4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-10,8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-6,7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-10,8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-9,6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-2,0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-2,3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-2,3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-2,5</w:t>
            </w:r>
          </w:p>
        </w:tc>
      </w:tr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 xml:space="preserve"> % к ВРП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1,4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0,9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0,1</w:t>
            </w:r>
          </w:p>
        </w:tc>
      </w:tr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Государственный и муниципальный долг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4,4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4,4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3,0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10,1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14,0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16,2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18,7</w:t>
            </w:r>
          </w:p>
        </w:tc>
      </w:tr>
      <w:tr w:rsidR="00457C40" w:rsidRPr="00BE51B3">
        <w:tc>
          <w:tcPr>
            <w:tcW w:w="2154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proofErr w:type="gramEnd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 xml:space="preserve"> % к ВРП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102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0,6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0,8</w:t>
            </w:r>
          </w:p>
        </w:tc>
        <w:tc>
          <w:tcPr>
            <w:tcW w:w="850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0,9</w:t>
            </w:r>
          </w:p>
        </w:tc>
      </w:tr>
    </w:tbl>
    <w:p w:rsidR="00457C40" w:rsidRPr="00BE51B3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A07FF4" w:rsidRDefault="00A07FF4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jc w:val="right"/>
        <w:outlineLvl w:val="1"/>
        <w:rPr>
          <w:rFonts w:ascii="Times New Roman" w:hAnsi="Times New Roman" w:cs="Times New Roman"/>
          <w:sz w:val="16"/>
          <w:szCs w:val="16"/>
        </w:rPr>
      </w:pPr>
      <w:bookmarkStart w:id="7" w:name="_GoBack"/>
      <w:bookmarkEnd w:id="7"/>
      <w:r w:rsidRPr="00BE51B3">
        <w:rPr>
          <w:rFonts w:ascii="Times New Roman" w:hAnsi="Times New Roman" w:cs="Times New Roman"/>
          <w:sz w:val="16"/>
          <w:szCs w:val="16"/>
        </w:rPr>
        <w:lastRenderedPageBreak/>
        <w:t>Приложение 5</w:t>
      </w: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к Бюджетному прогнозу</w:t>
      </w: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bookmarkStart w:id="8" w:name="P2036"/>
      <w:bookmarkEnd w:id="8"/>
      <w:r w:rsidRPr="00BE51B3">
        <w:rPr>
          <w:rFonts w:ascii="Times New Roman" w:hAnsi="Times New Roman" w:cs="Times New Roman"/>
          <w:sz w:val="16"/>
          <w:szCs w:val="16"/>
        </w:rPr>
        <w:t>ПОКАЗАТЕЛИ</w:t>
      </w:r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ФИНАНСОВОГО ОБЕСПЕЧЕНИЯ ГОСУДАРСТВЕННЫХ ПРОГРАММ</w:t>
      </w:r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ЛЕНИНГРАДСКОЙ ОБЛАСТИ НА ПЕРИОД ДО 2028 ГОДА</w:t>
      </w:r>
    </w:p>
    <w:p w:rsidR="00457C40" w:rsidRPr="00BE51B3" w:rsidRDefault="00457C4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ВАРИАНТ 2 (БАЗОВЫЙ)</w:t>
      </w:r>
    </w:p>
    <w:p w:rsidR="00457C40" w:rsidRPr="00BE51B3" w:rsidRDefault="00457C40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jc w:val="right"/>
        <w:rPr>
          <w:rFonts w:ascii="Times New Roman" w:hAnsi="Times New Roman" w:cs="Times New Roman"/>
          <w:sz w:val="16"/>
          <w:szCs w:val="16"/>
        </w:rPr>
      </w:pPr>
      <w:r w:rsidRPr="00BE51B3">
        <w:rPr>
          <w:rFonts w:ascii="Times New Roman" w:hAnsi="Times New Roman" w:cs="Times New Roman"/>
          <w:sz w:val="16"/>
          <w:szCs w:val="16"/>
        </w:rPr>
        <w:t>тыс. руб.</w:t>
      </w:r>
    </w:p>
    <w:p w:rsidR="00457C40" w:rsidRPr="00BE51B3" w:rsidRDefault="00457C40">
      <w:pPr>
        <w:spacing w:after="1"/>
        <w:rPr>
          <w:rFonts w:ascii="Times New Roman" w:hAnsi="Times New Roman" w:cs="Times New Roman"/>
          <w:sz w:val="16"/>
          <w:szCs w:val="16"/>
        </w:rPr>
      </w:pPr>
    </w:p>
    <w:tbl>
      <w:tblPr>
        <w:tblW w:w="16018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992"/>
      </w:tblGrid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Показатель</w:t>
            </w:r>
          </w:p>
        </w:tc>
        <w:tc>
          <w:tcPr>
            <w:tcW w:w="1134" w:type="dxa"/>
          </w:tcPr>
          <w:p w:rsidR="00457C40" w:rsidRPr="00BE51B3" w:rsidRDefault="00457C40" w:rsidP="00BE51B3">
            <w:pPr>
              <w:pStyle w:val="ConsPlusNormal"/>
              <w:ind w:left="-62" w:firstLine="20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2016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2017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2018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2019 год</w:t>
            </w:r>
          </w:p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(оценка)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2020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2021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2022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</w:tr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Расходы всего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108157301,2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113159528,8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124021525,8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141011685,2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155544579,0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163431754,7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167802777,1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163454132,6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171141313,3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178398639,3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188936305,5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200302868,9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212433086,1</w:t>
            </w:r>
          </w:p>
        </w:tc>
      </w:tr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% к предыдущему году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104,6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109,6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113,7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110,3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105,1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102,7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97,4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104,7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104,2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105,9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106,0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106,1</w:t>
            </w:r>
          </w:p>
        </w:tc>
      </w:tr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1. Программные расходы, всего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101428917,4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106100321,0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116696143,3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133133850,5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143677149,7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142757964,3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138963508,6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123296237,6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126273039,9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36109061,7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1442870,9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1442870,9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1405303,6</w:t>
            </w:r>
          </w:p>
        </w:tc>
      </w:tr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Удельный вес</w:t>
            </w:r>
            <w:proofErr w:type="gramStart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93,8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93,8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94,1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94,4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92,4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87,4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82,8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75,4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73,8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0,7</w:t>
            </w:r>
          </w:p>
        </w:tc>
      </w:tr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Комплексное развитие сельских территорий Ленинградской области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1787843,2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2292623,5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1105451,4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3837220,8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4656815,6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Развитие внутреннего и въездного туризма в Ленинградской области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305421,6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305873,3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314108,2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449865,9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469210,1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Содействие занятости населения Ленинградской области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535555,1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580614,7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534787,1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759690,0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829940,5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808406,0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832643,7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671465,5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671465,5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Развитие здравоохранения в Ленинградской области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16969089,1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20851597,2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21942903,1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27476956,4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26023772,5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24129560,3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23801899,9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20630317,2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21453219,5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 xml:space="preserve">Современное </w:t>
            </w:r>
            <w:r w:rsidRPr="00BE51B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образование в Ленинградской области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26064104,6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27347848,8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31728169,9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33797699,0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35837181,3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36768035,1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36704883,6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33323808,9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34022030,1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34666190,8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Социальная поддержка отдельных категорий граждан в Ленинградской области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14614713,1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15581644,5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16271954,2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18107669,0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21624086,9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21976431,7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22748706,4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17510445,4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17510445,4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Развитие физической культуры и спорта в Ленинградской области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1125084,1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1549529,4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1691085,4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2019155,8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2412135,1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2722621,9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1835831,8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2216008,1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2216008,1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Развитие культуры в Ленинградской области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1472892,3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2315432,1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2938477,3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3190725,3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3542930,3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3183677,9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2475002,3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3825408,1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3611997,4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Формирование городской среды и обеспечение качественным жильем граждан на территории Ленинградской области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4111503,6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2255088,5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3925375,6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6642743,9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7756172,1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8372464,1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6539334,3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5033359,3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4932141,2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6612811,2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8329617,9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7956829,4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8812930,6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10213984,2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9803634,7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8966547,2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9393900,6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9815334,9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1442870,9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1442870,9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1442870,9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1405303,6</w:t>
            </w:r>
          </w:p>
        </w:tc>
      </w:tr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Безопасность Ленинградской области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1604449,1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1862277,2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2025723,4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2284824,0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2888152,8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2327974,0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2496421,4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2401421,3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2401421,3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Охрана окружающей среды Ленинградской области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1430900,0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1601345,2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1697328,3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2205632,6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2299742,7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2372142,0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2295871,1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1467647,4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1526352,9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Цифровое развитие Ленинградской области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869691,7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994953,2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831453,8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2313126,3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2881058,4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2926209,4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2883923,5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2275905,7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2331377,2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Стимулирование экономической активности Ленинградской области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5415314,8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2539080,0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5183778,3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2905742,2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2260383,6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2176991,5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2304680,9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1206410,7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1219945,0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Развитие транспортной системы Ленинградской области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9560361,9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8531054,0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8482569,5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11279175,7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11015690,2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12122269,9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13226457,0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7957857,2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7986374,2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Развитие сельского хозяйства Ленинградской области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6240184,1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6519063,0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6268078,8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6610206,0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5441961,0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5225593,8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5239353,4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4421367,1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4541667,1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Управление государственными финансами и государственным долгом Ленинградской области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3047185,2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3335706,7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3030362,2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3420049,6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4371103,1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4348432,4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4335687,7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4980137,8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5168087,7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 xml:space="preserve">Повышение эффективности государственного управления и снижение административных барьеров при предоставлении государственных и муниципальных услуг в </w:t>
            </w:r>
            <w:r w:rsidRPr="00BE51B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Ленинградской области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803271,4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901874,6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1231373,1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Устойчивое общественное развитие в Ленинградской области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951806,1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1003594,0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955893,9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1307524,1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2185590,2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895022,8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856704,8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1693690,6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1739146,7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2. Непрограммные расходы, всего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6728383,8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7059207,8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7325382,5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7877834,7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11867429,3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20673790,4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28839268,5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40157895,0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44868273,4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142289577,6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187493434,6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198859998,0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211027782,5</w:t>
            </w:r>
          </w:p>
        </w:tc>
      </w:tr>
      <w:tr w:rsidR="00457C40" w:rsidRPr="00BE51B3" w:rsidTr="00BE51B3">
        <w:tc>
          <w:tcPr>
            <w:tcW w:w="1418" w:type="dxa"/>
          </w:tcPr>
          <w:p w:rsidR="00457C40" w:rsidRPr="00BE51B3" w:rsidRDefault="00457C4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Удельный вес</w:t>
            </w:r>
            <w:proofErr w:type="gramStart"/>
            <w:r w:rsidRPr="00BE51B3">
              <w:rPr>
                <w:rFonts w:ascii="Times New Roman" w:hAnsi="Times New Roman" w:cs="Times New Roman"/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6,2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5,9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5,6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12,6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17,2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24,6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26,2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79,8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99,2</w:t>
            </w:r>
          </w:p>
        </w:tc>
        <w:tc>
          <w:tcPr>
            <w:tcW w:w="1134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99,3</w:t>
            </w:r>
          </w:p>
        </w:tc>
        <w:tc>
          <w:tcPr>
            <w:tcW w:w="992" w:type="dxa"/>
          </w:tcPr>
          <w:p w:rsidR="00457C40" w:rsidRPr="00BE51B3" w:rsidRDefault="00457C4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51B3">
              <w:rPr>
                <w:rFonts w:ascii="Times New Roman" w:hAnsi="Times New Roman" w:cs="Times New Roman"/>
                <w:sz w:val="16"/>
                <w:szCs w:val="16"/>
              </w:rPr>
              <w:t>99,3</w:t>
            </w:r>
          </w:p>
        </w:tc>
      </w:tr>
    </w:tbl>
    <w:p w:rsidR="00457C40" w:rsidRPr="00BE51B3" w:rsidRDefault="00457C40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:rsidR="00457C40" w:rsidRPr="00BE51B3" w:rsidRDefault="00457C40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CF592B" w:rsidRPr="00BE51B3" w:rsidRDefault="00CF592B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sectPr w:rsidR="00CF592B" w:rsidRPr="00BE51B3" w:rsidSect="00457C40">
      <w:pgSz w:w="16838" w:h="11905" w:orient="landscape"/>
      <w:pgMar w:top="1701" w:right="1134" w:bottom="850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409" w:rsidRDefault="007F7409" w:rsidP="003B4738">
      <w:pPr>
        <w:spacing w:after="0" w:line="240" w:lineRule="auto"/>
      </w:pPr>
      <w:r>
        <w:separator/>
      </w:r>
    </w:p>
  </w:endnote>
  <w:endnote w:type="continuationSeparator" w:id="0">
    <w:p w:rsidR="007F7409" w:rsidRDefault="007F7409" w:rsidP="003B4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6343998"/>
      <w:docPartObj>
        <w:docPartGallery w:val="Page Numbers (Bottom of Page)"/>
        <w:docPartUnique/>
      </w:docPartObj>
    </w:sdtPr>
    <w:sdtContent>
      <w:p w:rsidR="003B4738" w:rsidRDefault="003B47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7FF4">
          <w:rPr>
            <w:noProof/>
          </w:rPr>
          <w:t>35</w:t>
        </w:r>
        <w:r>
          <w:fldChar w:fldCharType="end"/>
        </w:r>
      </w:p>
    </w:sdtContent>
  </w:sdt>
  <w:p w:rsidR="003B4738" w:rsidRDefault="003B473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409" w:rsidRDefault="007F7409" w:rsidP="003B4738">
      <w:pPr>
        <w:spacing w:after="0" w:line="240" w:lineRule="auto"/>
      </w:pPr>
      <w:r>
        <w:separator/>
      </w:r>
    </w:p>
  </w:footnote>
  <w:footnote w:type="continuationSeparator" w:id="0">
    <w:p w:rsidR="007F7409" w:rsidRDefault="007F7409" w:rsidP="003B47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C40"/>
    <w:rsid w:val="003B4738"/>
    <w:rsid w:val="00457C40"/>
    <w:rsid w:val="007F7409"/>
    <w:rsid w:val="00952E31"/>
    <w:rsid w:val="00A07FF4"/>
    <w:rsid w:val="00B86730"/>
    <w:rsid w:val="00BE51B3"/>
    <w:rsid w:val="00CF592B"/>
    <w:rsid w:val="00D5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457C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457C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57C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B4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4738"/>
  </w:style>
  <w:style w:type="paragraph" w:styleId="a5">
    <w:name w:val="footer"/>
    <w:basedOn w:val="a"/>
    <w:link w:val="a6"/>
    <w:uiPriority w:val="99"/>
    <w:unhideWhenUsed/>
    <w:rsid w:val="003B4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47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457C4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457C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57C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B4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4738"/>
  </w:style>
  <w:style w:type="paragraph" w:styleId="a5">
    <w:name w:val="footer"/>
    <w:basedOn w:val="a"/>
    <w:link w:val="a6"/>
    <w:uiPriority w:val="99"/>
    <w:unhideWhenUsed/>
    <w:rsid w:val="003B4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47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4E256374FAB4DF007DFE61B37B20F704D53C9E6D20F3978994B6CB53045E2B99B87D04264E9B3F9D813C4D44516884ADDB832AA3022A70M7CBM" TargetMode="External"/><Relationship Id="rId13" Type="http://schemas.openxmlformats.org/officeDocument/2006/relationships/hyperlink" Target="consultantplus://offline/ref=FF4E256374FAB4DF007DE170A67B20F705D2369E692EF3978994B6CB53045E2B99B87D042F49906BC9CE3D1102037B86A2DB8122BFM0C0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F4E256374FAB4DF007DE170A67B20F705D236966A21F3978994B6CB53045E2B8BB825082449853F90946A1C02M0C4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F4E256374FAB4DF007DFE61B37B20F704D53C9E6D20F3978994B6CB53045E2B99B87D04264E9B3F9D813C4D44516884ADDB832AA3022A70M7CB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F4E256374FAB4DF007DFE61B37B20F704D53D9E612FF3978994B6CB53045E2B99B87D04264E9B3E98813C4D44516884ADDB832AA3022A70M7CB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F4E256374FAB4DF007DE170A67B20F705D2369E6D27F3978994B6CB53045E2B99B87D062E4D9F34CCDB2C490D066298AACD9D20BD02M2CA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8C74E-B4F1-4EDD-80DC-01985D55D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36</Pages>
  <Words>7951</Words>
  <Characters>45324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3</cp:revision>
  <dcterms:created xsi:type="dcterms:W3CDTF">2020-08-27T12:02:00Z</dcterms:created>
  <dcterms:modified xsi:type="dcterms:W3CDTF">2020-08-27T14:06:00Z</dcterms:modified>
</cp:coreProperties>
</file>