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ПАСПОРТ</w:t>
      </w:r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ГОСУДАРСТВЕННОЙ ПРОГРАММЫ ЛЕНИНГРАДСКОЙ ОБЛАСТИ</w:t>
      </w:r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 xml:space="preserve">"УПРАВЛЕНИЕ ГОСУДАРСТВЕННЫМИ ФИНАНСАМИ И </w:t>
      </w:r>
      <w:proofErr w:type="gramStart"/>
      <w:r w:rsidRPr="006B535C">
        <w:rPr>
          <w:sz w:val="24"/>
          <w:szCs w:val="24"/>
        </w:rPr>
        <w:t>ГОСУДАРСТВЕННЫМ</w:t>
      </w:r>
      <w:proofErr w:type="gramEnd"/>
    </w:p>
    <w:p w:rsidR="006B535C" w:rsidRPr="006B535C" w:rsidRDefault="006B535C" w:rsidP="006B535C">
      <w:pPr>
        <w:pStyle w:val="ConsPlusNormal"/>
        <w:jc w:val="center"/>
        <w:rPr>
          <w:sz w:val="24"/>
          <w:szCs w:val="24"/>
        </w:rPr>
      </w:pPr>
      <w:r w:rsidRPr="006B535C">
        <w:rPr>
          <w:sz w:val="24"/>
          <w:szCs w:val="24"/>
        </w:rPr>
        <w:t>ДОЛГОМ ЛЕНИНГРАДСКОЙ ОБЛАСТИ"</w:t>
      </w:r>
    </w:p>
    <w:p w:rsidR="0023656B" w:rsidRPr="006B535C" w:rsidRDefault="0023656B" w:rsidP="0023656B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6B535C">
        <w:rPr>
          <w:rFonts w:cs="Times New Roman"/>
          <w:sz w:val="24"/>
          <w:szCs w:val="24"/>
        </w:rPr>
        <w:t xml:space="preserve">от 14.11.2013 № 402 (ред. от </w:t>
      </w:r>
      <w:r w:rsidR="00A24DE4" w:rsidRPr="00A24DE4">
        <w:rPr>
          <w:rFonts w:cs="Times New Roman"/>
          <w:sz w:val="24"/>
          <w:szCs w:val="24"/>
        </w:rPr>
        <w:t xml:space="preserve">04.06.2019 </w:t>
      </w:r>
      <w:r w:rsidR="00A24DE4">
        <w:rPr>
          <w:rFonts w:cs="Times New Roman"/>
          <w:sz w:val="24"/>
          <w:szCs w:val="24"/>
        </w:rPr>
        <w:t>№</w:t>
      </w:r>
      <w:r w:rsidR="00A24DE4" w:rsidRPr="00A24DE4">
        <w:rPr>
          <w:rFonts w:cs="Times New Roman"/>
          <w:sz w:val="24"/>
          <w:szCs w:val="24"/>
        </w:rPr>
        <w:t xml:space="preserve"> 252</w:t>
      </w:r>
      <w:r w:rsidRPr="006B535C">
        <w:rPr>
          <w:rFonts w:cs="Times New Roman"/>
          <w:sz w:val="24"/>
          <w:szCs w:val="24"/>
        </w:rPr>
        <w:t>)</w:t>
      </w:r>
    </w:p>
    <w:p w:rsidR="00F311F4" w:rsidRPr="006B535C" w:rsidRDefault="00F311F4">
      <w:pPr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7377"/>
      </w:tblGrid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"Управление государственными финансами и государственным долгом Ленинградской области" (далее - Государственная программа)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Комитет финансов Ленинградской области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Комитет финансов Ленинградской об</w:t>
            </w:r>
            <w:bookmarkStart w:id="0" w:name="_GoBack"/>
            <w:bookmarkEnd w:id="0"/>
            <w:r w:rsidRPr="00A24DE4">
              <w:rPr>
                <w:rFonts w:cs="Times New Roman"/>
                <w:sz w:val="24"/>
                <w:szCs w:val="24"/>
              </w:rPr>
              <w:t>ласти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1. "</w:t>
            </w:r>
            <w:hyperlink r:id="rId5" w:history="1">
              <w:r w:rsidRPr="00A24DE4">
                <w:rPr>
                  <w:rFonts w:cs="Times New Roman"/>
                  <w:sz w:val="24"/>
                  <w:szCs w:val="24"/>
                </w:rPr>
                <w:t>Создание</w:t>
              </w:r>
            </w:hyperlink>
            <w:r w:rsidRPr="00A24DE4">
              <w:rPr>
                <w:rFonts w:cs="Times New Roman"/>
                <w:sz w:val="24"/>
                <w:szCs w:val="24"/>
              </w:rPr>
              <w:t xml:space="preserve"> условий для эффективного и ответственного управления муниципальными финансами, повышения устойчивости бюджетов муниципальных образований Ленинградской области".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2. "</w:t>
            </w:r>
            <w:hyperlink r:id="rId6" w:history="1">
              <w:r w:rsidRPr="00A24DE4">
                <w:rPr>
                  <w:rFonts w:cs="Times New Roman"/>
                  <w:sz w:val="24"/>
                  <w:szCs w:val="24"/>
                </w:rPr>
                <w:t>Управление</w:t>
              </w:r>
            </w:hyperlink>
            <w:r w:rsidRPr="00A24DE4">
              <w:rPr>
                <w:rFonts w:cs="Times New Roman"/>
                <w:sz w:val="24"/>
                <w:szCs w:val="24"/>
              </w:rPr>
              <w:t xml:space="preserve"> государственным долгом Ленинградской области".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3. "</w:t>
            </w:r>
            <w:hyperlink r:id="rId7" w:history="1">
              <w:r w:rsidRPr="00A24DE4">
                <w:rPr>
                  <w:rFonts w:cs="Times New Roman"/>
                  <w:sz w:val="24"/>
                  <w:szCs w:val="24"/>
                </w:rPr>
                <w:t>Повышение</w:t>
              </w:r>
            </w:hyperlink>
            <w:r w:rsidRPr="00A24DE4">
              <w:rPr>
                <w:rFonts w:cs="Times New Roman"/>
                <w:sz w:val="24"/>
                <w:szCs w:val="24"/>
              </w:rPr>
              <w:t xml:space="preserve"> эффективности и открытости бюджета Ленинградской области"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Обеспечение долгосрочной сбалансированности бюджета Ленинградской области и повышения качества управления общественными финансами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1. Обеспечение условий для устойчивого исполнения расходных обязательств муниципальных образований Ленинградской области и повышение качества управления муниципальными финансами.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2. Создание эффективной системы заимствований.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3. Максимизация ставок размещения временно свободных денежных средств бюджета Ленинградской области.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4. Совершенствование системы управления финансами, повышение открытости и прозрачности представления информации о бюджетном процессе в Ленинградской области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 xml:space="preserve">Государственная программа реализуется в 2018-2024 годах </w:t>
            </w:r>
            <w:hyperlink r:id="rId8" w:history="1">
              <w:r w:rsidRPr="00A24DE4">
                <w:rPr>
                  <w:rFonts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составляет 25933226,7 тыс. рублей, в том числе: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2018 год - 3053799,9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2019 год - 3424685,6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2020 год - 3419139,3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2021 год - 3450817,6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2022 год - 4020753,0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lastRenderedPageBreak/>
              <w:t>2023 год - 4203572,0 тыс. рублей;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2024 год - 4360459,3 тыс. рублей</w:t>
            </w:r>
          </w:p>
        </w:tc>
      </w:tr>
      <w:tr w:rsidR="00A24DE4" w:rsidRPr="00A24DE4" w:rsidTr="00A24DE4">
        <w:tc>
          <w:tcPr>
            <w:tcW w:w="2041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377" w:type="dxa"/>
          </w:tcPr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1. Рост доли муниципальных образований Ленинградской области, имеющих высокое и надлежащее качество управления муниципальными финансами, от общего количества муниципальных образований Ленинградской области - до 50,2 проц.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2. Отношение объема государственного долга Ленинградской области к объему доходов бюджета без учета безвозмездных поступлений - не более 9,0 проц.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3. Размещение временно свободных денежных средств бюджета Ленинградской области по ставке, составляющей не менее 90 проц. от действующей ключевой ставки ЦБ РФ на дату размещения.</w:t>
            </w:r>
          </w:p>
          <w:p w:rsidR="00A24DE4" w:rsidRPr="00A24DE4" w:rsidRDefault="00A24DE4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A24DE4">
              <w:rPr>
                <w:rFonts w:cs="Times New Roman"/>
                <w:sz w:val="24"/>
                <w:szCs w:val="24"/>
              </w:rPr>
              <w:t>4. Уровень открытости бюджетных данных в Ленинградской области - 70 проц. в 2024 году</w:t>
            </w:r>
          </w:p>
        </w:tc>
      </w:tr>
    </w:tbl>
    <w:p w:rsidR="006B535C" w:rsidRPr="006B535C" w:rsidRDefault="006B535C">
      <w:pPr>
        <w:rPr>
          <w:rFonts w:cs="Times New Roman"/>
          <w:sz w:val="24"/>
          <w:szCs w:val="24"/>
        </w:rPr>
      </w:pPr>
    </w:p>
    <w:sectPr w:rsidR="006B535C" w:rsidRPr="006B535C" w:rsidSect="00F90D2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33D"/>
    <w:rsid w:val="000C733D"/>
    <w:rsid w:val="0023656B"/>
    <w:rsid w:val="00477AD0"/>
    <w:rsid w:val="006B535C"/>
    <w:rsid w:val="00A24DE4"/>
    <w:rsid w:val="00B24F5C"/>
    <w:rsid w:val="00F311F4"/>
    <w:rsid w:val="00F9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F90D2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90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53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F90D2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90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F18B69423797DE800BC076E5BC7A6987B955FB8324B6B5FA38DBEEA14178EF5E63DE4D03FB84A936B50FC953D5784051C51F0DE55C9882IF57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AF18B69423797DE800BC076E5BC7A6987B955FB8324B6B5FA38DBEEA14178EF5E63DE4D03FA8CA83DB50FC953D5784051C51F0DE55C9882IF5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F18B69423797DE800BC076E5BC7A6987B955FB8324B6B5FA38DBEEA14178EF5E63DE4D03FA8DAC3DB50FC953D5784051C51F0DE55C9882IF57M" TargetMode="External"/><Relationship Id="rId5" Type="http://schemas.openxmlformats.org/officeDocument/2006/relationships/hyperlink" Target="consultantplus://offline/ref=4AF18B69423797DE800BC076E5BC7A6987B955FB8324B6B5FA38DBEEA14178EF5E63DE4D03FB84A339B50FC953D5784051C51F0DE55C9882IF57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dcterms:created xsi:type="dcterms:W3CDTF">2019-08-20T12:57:00Z</dcterms:created>
  <dcterms:modified xsi:type="dcterms:W3CDTF">2019-08-20T12:57:00Z</dcterms:modified>
</cp:coreProperties>
</file>