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B42" w:rsidRDefault="00AE52DA" w:rsidP="005A1596">
      <w:pPr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 w:cs="Times New Roman"/>
          <w:sz w:val="28"/>
          <w:szCs w:val="28"/>
        </w:rPr>
      </w:pPr>
      <w:r w:rsidRPr="00AE52DA">
        <w:rPr>
          <w:rFonts w:ascii="Times New Roman" w:hAnsi="Times New Roman" w:cs="Times New Roman"/>
          <w:sz w:val="28"/>
          <w:szCs w:val="28"/>
        </w:rPr>
        <w:t xml:space="preserve">от 19.06.2019 г. </w:t>
      </w:r>
      <w:r w:rsidR="005A1596" w:rsidRPr="00AE52DA">
        <w:rPr>
          <w:rFonts w:ascii="Times New Roman" w:hAnsi="Times New Roman" w:cs="Times New Roman"/>
          <w:sz w:val="28"/>
          <w:szCs w:val="28"/>
        </w:rPr>
        <w:t>№</w:t>
      </w:r>
      <w:r w:rsidRPr="00AE52DA">
        <w:rPr>
          <w:rFonts w:ascii="Times New Roman" w:hAnsi="Times New Roman" w:cs="Times New Roman"/>
          <w:sz w:val="28"/>
          <w:szCs w:val="28"/>
        </w:rPr>
        <w:t xml:space="preserve"> 05-27/4151</w:t>
      </w:r>
    </w:p>
    <w:p w:rsidR="00AE52DA" w:rsidRDefault="00AE52DA" w:rsidP="005A1596">
      <w:pPr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 w:cs="Times New Roman"/>
          <w:sz w:val="28"/>
          <w:szCs w:val="28"/>
        </w:rPr>
      </w:pPr>
    </w:p>
    <w:p w:rsidR="00AE52DA" w:rsidRPr="00AE52DA" w:rsidRDefault="00AE52DA" w:rsidP="005A1596">
      <w:pPr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40A9" w:rsidRPr="008740A9" w:rsidRDefault="008740A9" w:rsidP="008740A9">
      <w:pPr>
        <w:autoSpaceDE w:val="0"/>
        <w:autoSpaceDN w:val="0"/>
        <w:adjustRightInd w:val="0"/>
        <w:spacing w:after="0" w:line="240" w:lineRule="auto"/>
        <w:ind w:left="30" w:right="3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0A9">
        <w:rPr>
          <w:rFonts w:ascii="Times New Roman" w:hAnsi="Times New Roman" w:cs="Times New Roman"/>
          <w:b/>
          <w:sz w:val="28"/>
          <w:szCs w:val="28"/>
        </w:rPr>
        <w:t xml:space="preserve">Отзыв на </w:t>
      </w:r>
      <w:r w:rsidRPr="008740A9">
        <w:rPr>
          <w:rFonts w:ascii="Times New Roman" w:hAnsi="Times New Roman" w:cs="Times New Roman"/>
          <w:b/>
          <w:bCs/>
          <w:sz w:val="28"/>
          <w:szCs w:val="28"/>
        </w:rPr>
        <w:t>заключен</w:t>
      </w:r>
      <w:r>
        <w:rPr>
          <w:rFonts w:ascii="Times New Roman" w:hAnsi="Times New Roman" w:cs="Times New Roman"/>
          <w:b/>
          <w:bCs/>
          <w:sz w:val="28"/>
          <w:szCs w:val="28"/>
        </w:rPr>
        <w:t>ие государственного учреждения «</w:t>
      </w:r>
      <w:r w:rsidRPr="008740A9">
        <w:rPr>
          <w:rFonts w:ascii="Times New Roman" w:hAnsi="Times New Roman" w:cs="Times New Roman"/>
          <w:b/>
          <w:bCs/>
          <w:sz w:val="28"/>
          <w:szCs w:val="28"/>
        </w:rPr>
        <w:t>Государственный экспертный институт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регионального законодательства»</w:t>
      </w:r>
      <w:r w:rsidRPr="008740A9">
        <w:rPr>
          <w:rFonts w:ascii="Times New Roman" w:hAnsi="Times New Roman" w:cs="Times New Roman"/>
          <w:b/>
          <w:bCs/>
          <w:sz w:val="28"/>
          <w:szCs w:val="28"/>
        </w:rPr>
        <w:t xml:space="preserve"> о результатах правовой (юридической) </w:t>
      </w:r>
      <w:r w:rsidRPr="00895301">
        <w:rPr>
          <w:rFonts w:ascii="Times New Roman" w:hAnsi="Times New Roman" w:cs="Times New Roman"/>
          <w:b/>
          <w:bCs/>
          <w:sz w:val="28"/>
          <w:szCs w:val="28"/>
        </w:rPr>
        <w:t xml:space="preserve">экспертизы </w:t>
      </w:r>
      <w:r w:rsidR="00895301" w:rsidRPr="00895301">
        <w:rPr>
          <w:rFonts w:ascii="Times New Roman" w:hAnsi="Times New Roman" w:cs="Times New Roman"/>
          <w:b/>
          <w:sz w:val="28"/>
          <w:szCs w:val="28"/>
        </w:rPr>
        <w:t>проекта областного закона «Об оплате  труда работников государственных учреждений Ленинградской области»</w:t>
      </w:r>
    </w:p>
    <w:p w:rsidR="008740A9" w:rsidRPr="008740A9" w:rsidRDefault="008740A9" w:rsidP="008740A9">
      <w:pPr>
        <w:autoSpaceDE w:val="0"/>
        <w:autoSpaceDN w:val="0"/>
        <w:adjustRightInd w:val="0"/>
        <w:spacing w:after="0" w:line="240" w:lineRule="auto"/>
        <w:ind w:right="3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center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Рассмотрев  замечания  к проекту областного закона «Об оплате  труда работников государственных учреждений Ленинградской области» (далее Проект), изложенные в  экспертном заключении государственного экспертного института регионального законодательства (далее-ГКУЛО «ГЭИРЗ»)  от 17.05. 2019 года № 212995288, Комитет финансов Ленинградской области (далее- Комитет)  сообщает следующее.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C2B42">
        <w:rPr>
          <w:rFonts w:ascii="Times New Roman" w:hAnsi="Times New Roman" w:cs="Times New Roman"/>
          <w:sz w:val="28"/>
          <w:szCs w:val="28"/>
          <w:u w:val="single"/>
        </w:rPr>
        <w:t>1.По п.1 Заключения.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Согласно пункту 2 статьи 26.3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6 декабря 1999 года </w:t>
      </w:r>
      <w:r>
        <w:rPr>
          <w:rFonts w:ascii="Times New Roman" w:hAnsi="Times New Roman" w:cs="Times New Roman"/>
          <w:sz w:val="28"/>
          <w:szCs w:val="28"/>
        </w:rPr>
        <w:br/>
        <w:t>№ 184-ФЗ «</w:t>
      </w:r>
      <w:r w:rsidRPr="007C2B42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</w:t>
      </w:r>
      <w:r w:rsidRPr="007C2B42">
        <w:rPr>
          <w:rFonts w:ascii="Times New Roman" w:hAnsi="Times New Roman" w:cs="Times New Roman"/>
          <w:sz w:val="28"/>
          <w:szCs w:val="28"/>
        </w:rPr>
        <w:t xml:space="preserve"> вопросы оплаты труда государственных учреждений субъекта Российской Федерации относятся к полномочиям органов государственной власти субъекта Российской Федерации и осуществляются данными органами самостоятельно за счет средств бюджета субъекта Российской Федерации (за исключением субвенций из федерального бюджета).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right="3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2B42">
        <w:rPr>
          <w:rFonts w:ascii="Times New Roman" w:hAnsi="Times New Roman" w:cs="Times New Roman"/>
          <w:sz w:val="28"/>
          <w:szCs w:val="28"/>
        </w:rPr>
        <w:t>Cтатьей</w:t>
      </w:r>
      <w:proofErr w:type="spellEnd"/>
      <w:r w:rsidRPr="007C2B42">
        <w:rPr>
          <w:rFonts w:ascii="Times New Roman" w:hAnsi="Times New Roman" w:cs="Times New Roman"/>
          <w:sz w:val="28"/>
          <w:szCs w:val="28"/>
        </w:rPr>
        <w:t xml:space="preserve"> 144 Трудового кодекса Российской Федерации (далее-ТК РФ)  определено, что  системы оплаты труда работников государственных  учреждений субъектов Российской Федерации регулируются в том числе с учетом рекомендаций Российской трехсторонней комиссии по регулированию социально-трудовых отношений (часть третья статьи 135 настоящего Кодекса) и мнения соответствующих профсоюзов (объединений профсоюзов) и объединений работодателей.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Таким образом, субъекты РФ обладают всей полнотой государственной власти  при регулировании отношений в сфере оплаты  труда работников государственных учреждений субъектов РФ  и вправе самостоятельно избирать и устанавливать параметры регулирования соответствующих отношений с учетом специфики деятельности тех или иных учреждений. Разработанный Проект в полной мере соответствует положениям 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 на 2019 год, утвержденных решением Российской трехсторонней комиссии по регулированию социально-трудовых отношений (протокол от 25 декабря 2018 года N 12) (далее-Рекомендации) , в том числе разделам II,IV  Рекомендаций , положениями которого обеспечено: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lastRenderedPageBreak/>
        <w:t xml:space="preserve">  - уровень заработной платы  работников бюджетной сферы в 2019 году в размерах не ниже уровня, достигнутого в 2018 году при реализации соответствующих указов Президента Российской Федерации;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- рост достигнутого уровня оплаты труда, в том числе по отдельным категориям работников;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- включение в сферу регулирования автономных учреждений;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- переход к системе «минимальных окладов»;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-трансформация стимулирующих персональных надбавок за квалификацию и отдельных компенсационных выплат в повышающие коэффициенты к окладу (как следствие- повышение размера гарантированной части оплаты труда и повышение связи стимулирующих выплат с результатами).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Вместе с тем выполнение мероприятий  как Рекомендаций, так и распоряжения 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от 08.08.2018 № 438-р «</w:t>
      </w:r>
      <w:r w:rsidRPr="007C2B42">
        <w:rPr>
          <w:rFonts w:ascii="Times New Roman" w:hAnsi="Times New Roman" w:cs="Times New Roman"/>
          <w:sz w:val="28"/>
          <w:szCs w:val="28"/>
        </w:rPr>
        <w:t>Об утверждении Программы оптимизации расходов областного бюджета Ленинградской области на 2018 год и на пл</w:t>
      </w:r>
      <w:r>
        <w:rPr>
          <w:rFonts w:ascii="Times New Roman" w:hAnsi="Times New Roman" w:cs="Times New Roman"/>
          <w:sz w:val="28"/>
          <w:szCs w:val="28"/>
        </w:rPr>
        <w:t>ановый период 2019 и 2020 годов»</w:t>
      </w:r>
      <w:r w:rsidRPr="007C2B42">
        <w:rPr>
          <w:rFonts w:ascii="Times New Roman" w:hAnsi="Times New Roman" w:cs="Times New Roman"/>
          <w:sz w:val="28"/>
          <w:szCs w:val="28"/>
        </w:rPr>
        <w:t xml:space="preserve"> (далее-Программа)  обеспечивается  комплексным подходом, в том числе принятием в новой редакции  правового акта  Правительства Ленинградской области, определяющего положение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 (далее-Положение о системах оплаты труда).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Разработанный Проект в полной мере соответствует действующему нормативно-правовому регулированию в Ленинградской области, и не предусматривает установление нового перечня  полномочий,  делегированных Правительству Ленинградской области. Вместе с тем закрепление за  Правительством Ленинградской области обязанности принять соответствующие нормы в развитие  основных положений,  установленных Проектом, позволяет  более гибко и оперативно влиять на совершенствование  системы оплаты  труда. Таким образом, субъект РФ, обладая всей полнотой государственной власти осуществлять собственное нормотворчество в сфере оплаты труда работников государственных учреждений, обладает правом  самостоятельно выбирать и устанавливать параметры регулирования соответствующих отношений с учетом специфики деятельности тех или иных учреждений.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C2B42">
        <w:rPr>
          <w:rFonts w:ascii="Times New Roman" w:hAnsi="Times New Roman" w:cs="Times New Roman"/>
          <w:sz w:val="28"/>
          <w:szCs w:val="28"/>
          <w:u w:val="single"/>
        </w:rPr>
        <w:t>2.По п.2 Заключения.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2.1.По мнению ГКУЛО «ГЭИРЗ», законом о бюджете не может устанавливаться размер расчетной величины.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Замечание относится не столько к Проекту, сколько к действующему нормативному-правовому регулированию. В настоящее время положениями ст. ст. 5,6 областного закона Ленинградской области от 20.12.2018 N 130-оз "Об областном бюджете Ленинградской области на 2019 год и на плановый период 2020 и 2021 годов" (Закон о бюджете на 2019 год) установлены, в том числе,  размеры социальных выплат и размеры их индексации. Таким образом,  Проект  подготовлен в соответствии с действующим законом о бюджете на 2019 год.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lastRenderedPageBreak/>
        <w:t>2.2. По мнению ГКУЛО «ГЭИРЗ», в Проекте не учтена норма ст.134 ТК РФ, согласно которой обеспечение повышения уровня реального содержания заработной платы должно  включать индексацию заработной платы в связи с ростом потребительских цен на товары и услуги.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Статьей 134 ТК РФ определено, что  к мерам, обеспечивающим повышение уровня реального содержания заработной платы, отнесена индексация заработной платы в связи с ростом потребительских цен на товары и услуги. Государственные органы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- в порядке, установленном коллективным договором, соглашениями, локальными нормативными актами.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В настоящее время трудовое законодательство Российской Федерации не предусматривает единого для всех работников способа индексации заработной платы. Правила индексации заработной платы определяются в зависимости от источника финансирования организаций либо законами и подзаконными нормативными актами (для государственных органов), либо коллективным договором, соглашением, локальным нормативным актом (для других организаций).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         В соответствии с положениями Рекомендаций уровень заработной платы  работников бюджетной сферы в 2019 году в размерах не ниже уровня, достигнутого в 2018 году при реализации соответствующих указов Президента Российской Федерации.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        Из текста части 1 ст.2 Проекта следует, что размер  расчетной величины пересматривается не реже одного раза в год, и не может быть пересмотрен  в сторону уменьшения.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          Учитывая изложенное,  положения Проекта не противоречат  нормам действующего федерального законодательства.</w:t>
      </w:r>
    </w:p>
    <w:p w:rsidR="007C2B42" w:rsidRPr="00BA3003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3003">
        <w:rPr>
          <w:rFonts w:ascii="Times New Roman" w:hAnsi="Times New Roman" w:cs="Times New Roman"/>
          <w:sz w:val="28"/>
          <w:szCs w:val="28"/>
          <w:u w:val="single"/>
        </w:rPr>
        <w:t>3.По п.3 Заключения.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     В соответствии с ч.2  ст.5  Проекта  областной закон вступает в силу по истечении 10 дней со дня его официального опубликования и применяется к правоотношениям с 1 января 2020 года.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           Данное положение позволит применить нормы Проекта при  составлении  областного  бюджета Ленинградской области  на 2020 год и на плановый период 2021 и 2022 годов, формирование которого начинается в 2019 году. При этом условие ,  при котором указанный Проект применяется к правоотношениям  с 1 января 2020 года, позволит  надлежащим образом уведомить работников об изменении  системы оплаты труда.</w:t>
      </w:r>
    </w:p>
    <w:p w:rsidR="007C2B42" w:rsidRPr="00BA3003" w:rsidRDefault="007C2B42" w:rsidP="00BA3003">
      <w:pPr>
        <w:autoSpaceDE w:val="0"/>
        <w:autoSpaceDN w:val="0"/>
        <w:adjustRightInd w:val="0"/>
        <w:spacing w:after="0" w:line="240" w:lineRule="auto"/>
        <w:ind w:right="3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3003">
        <w:rPr>
          <w:rFonts w:ascii="Times New Roman" w:hAnsi="Times New Roman" w:cs="Times New Roman"/>
          <w:sz w:val="28"/>
          <w:szCs w:val="28"/>
          <w:u w:val="single"/>
        </w:rPr>
        <w:t>4.По п.4 Заключения.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По мнению ГКУЛО «ГЭИРЗ», в  ст. 4 Проекта используются понятия «должностной оклад» и  «минимальный уровень должностного оклада», при этом не ясно, какими критериями следует руководствоваться при установлении размера  должностного руководителям,  заместителям руководителей и главным бухгалтерам оклада (как он должен  соотносится с минимальным уровнем должностного оклада).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lastRenderedPageBreak/>
        <w:t>В ст.4 Проекта содержится единственный и ключевой формальный критерий, согласно которому размер должностного оклада руководителя,  заместителя  руководителя  устанавливается не ниже  минимального уровня должностного оклада.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Все остальные критерии определения размеров должностных окладов  руководителей, заместителей  руководителя  и повышающих коэффициентов к ним устанавливаются Положением о системах о</w:t>
      </w:r>
      <w:r w:rsidR="00BA3003">
        <w:rPr>
          <w:rFonts w:ascii="Times New Roman" w:hAnsi="Times New Roman" w:cs="Times New Roman"/>
          <w:sz w:val="28"/>
          <w:szCs w:val="28"/>
        </w:rPr>
        <w:t>платы труда (в новой редакции).</w:t>
      </w:r>
    </w:p>
    <w:p w:rsidR="007C2B42" w:rsidRPr="00BA3003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3003">
        <w:rPr>
          <w:rFonts w:ascii="Times New Roman" w:hAnsi="Times New Roman" w:cs="Times New Roman"/>
          <w:sz w:val="28"/>
          <w:szCs w:val="28"/>
          <w:u w:val="single"/>
        </w:rPr>
        <w:t>5.По п.5 Заключения.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  5.1.По мнению ГКУЛО «ГЭИРЗ», в Проекте не учтены особенности правового статуса учреждений, которые являются главными распорядителями бюджетных средств.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В  ч.1 ст.4 Проекта указано, что « должностные оклады руководителей учреждений устанавливаются соответствующим уполномоченным органом.»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Ленин</w:t>
      </w:r>
      <w:r w:rsidR="00BA3003">
        <w:rPr>
          <w:rFonts w:ascii="Times New Roman" w:hAnsi="Times New Roman" w:cs="Times New Roman"/>
          <w:sz w:val="28"/>
          <w:szCs w:val="28"/>
        </w:rPr>
        <w:t>градской области от 13.07.2011 № 211 «</w:t>
      </w:r>
      <w:r w:rsidRPr="007C2B42">
        <w:rPr>
          <w:rFonts w:ascii="Times New Roman" w:hAnsi="Times New Roman" w:cs="Times New Roman"/>
          <w:sz w:val="28"/>
          <w:szCs w:val="28"/>
        </w:rPr>
        <w:t>О порядке осуществления органами исполнительной власти Ленинградской области функций и полномочий учредителя государственного у</w:t>
      </w:r>
      <w:r w:rsidR="00BA3003">
        <w:rPr>
          <w:rFonts w:ascii="Times New Roman" w:hAnsi="Times New Roman" w:cs="Times New Roman"/>
          <w:sz w:val="28"/>
          <w:szCs w:val="28"/>
        </w:rPr>
        <w:t>чреждения Ленинградской области»</w:t>
      </w:r>
      <w:r w:rsidRPr="007C2B42">
        <w:rPr>
          <w:rFonts w:ascii="Times New Roman" w:hAnsi="Times New Roman" w:cs="Times New Roman"/>
          <w:sz w:val="28"/>
          <w:szCs w:val="28"/>
        </w:rPr>
        <w:t xml:space="preserve"> (далее-Постановление №211)  определен порядок осуществления органами исполнительной власти Ленинградской области функций и полномочий учредителя государственных учреждений Ленинградской области, в том числе государственного казенного учреждения.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  Принимая во внимание, что в Проекте  указываются полномочия «уполномоченного органа», в данном случае имеется в виду  именно  орган исполнительной власти Ленинградской области, исполняющий  функций и полномочий учредителя (далее –уполномоченный орган). В соответствии с Уставом  в отношении  ГКУЛО «ГЭИРЗ»,  уполномоченным органом является Правительство Ленинградской области.</w:t>
      </w:r>
    </w:p>
    <w:p w:rsidR="007C2B42" w:rsidRPr="007C2B42" w:rsidRDefault="00BA3003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2B42" w:rsidRPr="007C2B42">
        <w:rPr>
          <w:rFonts w:ascii="Times New Roman" w:hAnsi="Times New Roman" w:cs="Times New Roman"/>
          <w:sz w:val="28"/>
          <w:szCs w:val="28"/>
        </w:rPr>
        <w:t>5.2.По мнению ГКУЛО «ГЭИРЗ», в Проекте не указаны ясно цели и основания определения размера, стимулирующих выплат руководителю распоряжениями уполномоченного органа, который не является стороной трудовых отношений.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На основании ст. 275 ТК РФ трудовой договор с руководителем государственного учреждения заключается на основе типовой формы трудового договора, утверждаемой Правительством РФ с учетом мнения Российской трехсторонней комиссии по регулированию социально-трудовых отношений. Постановлением Правительства РФ от 12.04.2013 N 329  утверждена  типовая форма трудового договора с руководителем государственного (муниципального) учреждения,  согласно которой  стороной договора является  орган государственной власти субъекта РФ 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Данные положения корреспондируются с Постановлением   №211, согласно которому  уполномоченный орган заключает и прекращает трудовой договор  с руководителем  государственного  учреждения.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Комитет обращает внимание, что порядок установления стимулирующих выплат, в том числе особенности  представления стимулирующих выплат </w:t>
      </w:r>
      <w:r w:rsidRPr="007C2B42">
        <w:rPr>
          <w:rFonts w:ascii="Times New Roman" w:hAnsi="Times New Roman" w:cs="Times New Roman"/>
          <w:sz w:val="28"/>
          <w:szCs w:val="28"/>
        </w:rPr>
        <w:lastRenderedPageBreak/>
        <w:t>руководителям,  с отражением периодов, в полной мере  будет установлен  Положением о системах оплаты труда (в новой редакции).</w:t>
      </w:r>
    </w:p>
    <w:p w:rsidR="007C2B42" w:rsidRPr="007C2B42" w:rsidRDefault="007C2B42" w:rsidP="00BA3003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Учитывая вышеизложенное,  Комитет  не может согласиться с выводами, изложенными в Заключении,  и просит согласовать Проект в представленной редакции.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Председателя Правительства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  <w:r w:rsidRPr="007C2B42">
        <w:rPr>
          <w:rFonts w:ascii="Times New Roman" w:hAnsi="Times New Roman" w:cs="Times New Roman"/>
          <w:sz w:val="28"/>
          <w:szCs w:val="28"/>
        </w:rPr>
        <w:t>председатель комитета финансов</w:t>
      </w:r>
      <w:r w:rsidRPr="007C2B42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7C2B42">
        <w:rPr>
          <w:rFonts w:ascii="Times New Roman" w:hAnsi="Times New Roman" w:cs="Times New Roman"/>
          <w:sz w:val="28"/>
          <w:szCs w:val="28"/>
        </w:rPr>
        <w:tab/>
      </w:r>
      <w:r w:rsidRPr="007C2B42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BA30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C2B42">
        <w:rPr>
          <w:rFonts w:ascii="Times New Roman" w:hAnsi="Times New Roman" w:cs="Times New Roman"/>
          <w:sz w:val="28"/>
          <w:szCs w:val="28"/>
        </w:rPr>
        <w:t>Р.И. Марков</w:t>
      </w: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P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7C2B42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BA3003" w:rsidRPr="00BA3003" w:rsidRDefault="00BA3003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0"/>
          <w:szCs w:val="20"/>
        </w:rPr>
      </w:pPr>
    </w:p>
    <w:p w:rsidR="007C2B42" w:rsidRPr="00BA3003" w:rsidRDefault="007C2B42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0"/>
          <w:szCs w:val="20"/>
        </w:rPr>
      </w:pPr>
      <w:r w:rsidRPr="00BA3003">
        <w:rPr>
          <w:rFonts w:ascii="Times New Roman" w:hAnsi="Times New Roman" w:cs="Times New Roman"/>
          <w:sz w:val="20"/>
          <w:szCs w:val="20"/>
        </w:rPr>
        <w:t>Исполнитель: Новикова Т.А.  тел. 611-48-16 (4415)</w:t>
      </w:r>
    </w:p>
    <w:p w:rsidR="007C2B42" w:rsidRPr="00BA3003" w:rsidRDefault="00AE52DA" w:rsidP="007C2B42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proofErr w:type="spellStart"/>
      <w:r w:rsidR="007C2B42" w:rsidRPr="00BA3003">
        <w:rPr>
          <w:rFonts w:ascii="Times New Roman" w:hAnsi="Times New Roman" w:cs="Times New Roman"/>
          <w:sz w:val="20"/>
          <w:szCs w:val="20"/>
        </w:rPr>
        <w:t>Саргсян</w:t>
      </w:r>
      <w:proofErr w:type="spellEnd"/>
      <w:r w:rsidR="007C2B42" w:rsidRPr="00BA3003">
        <w:rPr>
          <w:rFonts w:ascii="Times New Roman" w:hAnsi="Times New Roman" w:cs="Times New Roman"/>
          <w:sz w:val="20"/>
          <w:szCs w:val="20"/>
        </w:rPr>
        <w:t xml:space="preserve"> А.Г. т</w:t>
      </w:r>
      <w:r>
        <w:rPr>
          <w:rFonts w:ascii="Times New Roman" w:hAnsi="Times New Roman" w:cs="Times New Roman"/>
          <w:sz w:val="20"/>
          <w:szCs w:val="20"/>
        </w:rPr>
        <w:t>ел</w:t>
      </w:r>
      <w:r w:rsidR="007C2B42" w:rsidRPr="00BA3003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C2B42" w:rsidRPr="00BA3003">
        <w:rPr>
          <w:rFonts w:ascii="Times New Roman" w:hAnsi="Times New Roman" w:cs="Times New Roman"/>
          <w:sz w:val="20"/>
          <w:szCs w:val="20"/>
        </w:rPr>
        <w:t>611-40-29</w:t>
      </w:r>
    </w:p>
    <w:p w:rsidR="00AA0A63" w:rsidRPr="007C2B42" w:rsidRDefault="00AA0A63" w:rsidP="007C2B4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0A63" w:rsidRPr="007C2B42" w:rsidSect="007C2B42">
      <w:pgSz w:w="12240" w:h="1584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DC4"/>
    <w:rsid w:val="005A1596"/>
    <w:rsid w:val="007C2B42"/>
    <w:rsid w:val="008740A9"/>
    <w:rsid w:val="00885DC4"/>
    <w:rsid w:val="00895301"/>
    <w:rsid w:val="00AA0A63"/>
    <w:rsid w:val="00AE52DA"/>
    <w:rsid w:val="00BA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Анна Гайковна</dc:creator>
  <cp:keywords/>
  <dc:description/>
  <cp:lastModifiedBy>Саргсян Анна Гайковна</cp:lastModifiedBy>
  <cp:revision>5</cp:revision>
  <dcterms:created xsi:type="dcterms:W3CDTF">2019-06-11T13:39:00Z</dcterms:created>
  <dcterms:modified xsi:type="dcterms:W3CDTF">2019-06-19T11:15:00Z</dcterms:modified>
</cp:coreProperties>
</file>