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8DC" w:rsidRPr="005838DC" w:rsidRDefault="005838DC" w:rsidP="005838DC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Обоснование необходимости принятия </w:t>
      </w:r>
    </w:p>
    <w:p w:rsidR="005838DC" w:rsidRPr="005838DC" w:rsidRDefault="005838DC" w:rsidP="005838DC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закона «Об оплате труда работников государственных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учреждений Ленинградской области»</w:t>
      </w:r>
      <w:r w:rsidRPr="005838DC" w:rsidDel="00E23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838DC" w:rsidRPr="005838DC" w:rsidRDefault="005838DC" w:rsidP="005838DC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8DC" w:rsidRPr="005838DC" w:rsidRDefault="005838DC" w:rsidP="005838DC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областного закона «Об оплате труда работников государственных учреждений Ленинградской области» (далее – проект закона, законопроект)  подготовлен в рамках реализации мероприятия 3.1 Программы оптимизации расходов областного бюджета Ленинградской области на 2018 год и на плановый период 2019 и 2020 годов, утвержденной распоряжением Правительства Ленинградской области от 08.08.2018 № 438-р (далее - Программа), по совершенствованию действующей системы оплаты труда работников государственных учреждений.</w:t>
      </w:r>
    </w:p>
    <w:p w:rsidR="005838DC" w:rsidRPr="005838DC" w:rsidRDefault="005838DC" w:rsidP="005838DC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Предлагаемый законопроект должен прийти на смену областному закону от 08.06.2011 № 32-оз «Об оплате труда работников государственных бюджетных учреждений Ленинградской области и государственных казенных учреждений Ленинградской области» (далее – закон № 32-оз).</w:t>
      </w:r>
    </w:p>
    <w:p w:rsidR="005838DC" w:rsidRPr="005838DC" w:rsidRDefault="005838DC" w:rsidP="005838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законом № 32-оз фонд оплаты труда учреждения включает в себя средства на выплату работникам должностных окладов (окладов, ставок заработной платы для педагогических работников), компенсационных и стимулирующих выплат, которые предусматриваются в размере не менее 30 % от суммы должностных окладов по учреждению.</w:t>
      </w:r>
    </w:p>
    <w:p w:rsidR="005838DC" w:rsidRPr="005838DC" w:rsidRDefault="005838DC" w:rsidP="005838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2018 году в рамках Программы Комитетом финансов Ленинградской области проведен сбор и анализ информации органов исполнительной власти Ленинградской области, исполняющих функции и полномочия учредителя государственных учреждений (далее - ОИВ),  в части применения действующего Положения </w:t>
      </w:r>
      <w:r w:rsidRPr="005838DC">
        <w:rPr>
          <w:rFonts w:ascii="Times New Roman" w:eastAsia="Times New Roman" w:hAnsi="Times New Roman" w:cs="Times New Roman"/>
          <w:sz w:val="28"/>
          <w:szCs w:val="28"/>
        </w:rPr>
        <w:t xml:space="preserve">о системах оплаты труда в государственных бюджетных учреждениях Ленинградской области и государственных казенных учреждениях Ленинградской области по видам экономической деятельности, утвержденного постановлением Правительства Ленинградской области от 15.06.2011 № 173, 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предложений  по внесению изменений в действующую систему оплаты труда. При проведении анализа также рассмотрены предложения регионального отделения Общероссийского общественного движения «Народный фронт «За Россию» в Ленинградской области по вопросу увеличения основного оклада педагогических работников посредством увеличения применяемых для расчета оклада межуровневых коэффициентов и включения в оклад выплат за квалификационную категорию и звания.</w:t>
      </w:r>
    </w:p>
    <w:p w:rsidR="005838DC" w:rsidRPr="005838DC" w:rsidRDefault="005838DC" w:rsidP="005838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отметить, что повышение в период с  2012 по 2018 г  оплаты труда отдельных категорий работников бюджетной сферы, определенных Указами Президента  Российской Федерации от 7 мая 2012 года  № 597, от 1 июня 2012 года № 761, от 28 декабря 2012 года № 1688,  обеспечивалось, в том числе, за счет стимулирующих выплат. В структуре фонда оплаты труда  «указных» категорий работников наблюдается значительное увеличение доли стимулирующих выплат. Численность работников, подпадающих под действие «майских» указов, составляет 49,7% от общей численности социального блока Ленинградской области.</w:t>
      </w:r>
    </w:p>
    <w:p w:rsidR="005838DC" w:rsidRPr="005838DC" w:rsidRDefault="005838DC" w:rsidP="005838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Вместе с тем, вопрос увеличения должностных окладов с изменением межуровневых коэффициентов  целесообразно рассматривать комплексно с учетом особенностей всех отраслей и охвата полного перечня должностей рабочих, руководителей, специалистов, служащих, с обязательным обеспечением поддержания уровня достигнутых «зарплатных» показателей в соответствии с  Указами Президента Российской Федерации в пределах утвержденного фонда оплаты труда и перераспределением гарантированной (по должностным окладам) и стимулирующей частей фонда, а также применением механизмов «эффективного контракта».</w:t>
      </w:r>
    </w:p>
    <w:p w:rsidR="005838DC" w:rsidRPr="005838DC" w:rsidRDefault="005838DC" w:rsidP="005838DC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проведенной работы с учетом предложений ОИВ, регионального отделения Общероссийского общественного движения «Народный фронт «За Россию» в Ленинградской области  подготовлен настоящий проект закона.</w:t>
      </w:r>
      <w:r w:rsidRPr="005838DC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новациями законопроекта по сравнению с законом № 32-оз являются:</w:t>
      </w:r>
    </w:p>
    <w:p w:rsidR="005838DC" w:rsidRPr="005838DC" w:rsidRDefault="005838DC" w:rsidP="005838DC">
      <w:pPr>
        <w:tabs>
          <w:tab w:val="left" w:pos="0"/>
        </w:tabs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включение в сферу регулирования закона государственных автономных учреждений Ленинградской области.</w:t>
      </w:r>
    </w:p>
    <w:p w:rsidR="005838DC" w:rsidRPr="005838DC" w:rsidRDefault="005838DC" w:rsidP="005838DC">
      <w:pPr>
        <w:tabs>
          <w:tab w:val="left" w:pos="0"/>
        </w:tabs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144 Трудового кодекса Российской Федерации устанавливает, что: </w:t>
      </w:r>
    </w:p>
    <w:p w:rsidR="005838DC" w:rsidRPr="005838DC" w:rsidRDefault="005838DC" w:rsidP="005838DC">
      <w:pPr>
        <w:tabs>
          <w:tab w:val="left" w:pos="0"/>
        </w:tabs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«Системы оплаты труда (в том числе тарифные системы оплаты труда) работников государственных и муниципальных учреждений устанавливаются: …</w:t>
      </w:r>
    </w:p>
    <w:p w:rsidR="005838DC" w:rsidRPr="005838DC" w:rsidRDefault="005838DC" w:rsidP="005838DC">
      <w:pPr>
        <w:tabs>
          <w:tab w:val="left" w:pos="0"/>
        </w:tabs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государственных учреждениях субъектов Российской Федерации - коллективными договорами, соглашениями, локальными нормативными актами в соответствии с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Федерации…».</w:t>
      </w:r>
    </w:p>
    <w:p w:rsidR="005838DC" w:rsidRPr="005838DC" w:rsidRDefault="005838DC" w:rsidP="005838DC">
      <w:pPr>
        <w:tabs>
          <w:tab w:val="left" w:pos="0"/>
        </w:tabs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Иными словами, трудовое законодательство не делает исключений для автономных учреждений субъектов Российской Федерации, оплата труда в которых должна осуществляться в соответствии с нормативными правовыми актами субъектов Российской Федерации. Это подтверждает и опыт других регионов, подавляющее большинство которых регулируют оплату труда как в бюджетных и казенных, так и в автономных учреждениях.</w:t>
      </w:r>
    </w:p>
    <w:p w:rsidR="005838DC" w:rsidRPr="005838DC" w:rsidRDefault="005838DC" w:rsidP="005838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Действующим законом 32-оз (часть 6 статьи 2) предусмотрено применение закона 32-оз и Положения о системах оплаты труда</w:t>
      </w:r>
      <w:r w:rsidRPr="005838D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838DC">
        <w:rPr>
          <w:rFonts w:ascii="Times New Roman" w:eastAsia="Times New Roman" w:hAnsi="Times New Roman" w:cs="Times New Roman"/>
          <w:sz w:val="28"/>
          <w:szCs w:val="28"/>
        </w:rPr>
        <w:t>в учреждениях по видам экономической деятельности</w:t>
      </w:r>
      <w:r w:rsidRPr="005838D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838DC">
        <w:rPr>
          <w:rFonts w:ascii="Times New Roman" w:eastAsia="Times New Roman" w:hAnsi="Times New Roman" w:cs="Times New Roman"/>
          <w:sz w:val="28"/>
          <w:szCs w:val="28"/>
        </w:rPr>
        <w:t>только при расчете субсидий из областного бюджета государственным автономным учреждениям Ленинградской области на возмещение нормативных затрат, связанных с оказанием ими в соответствии с государственным заданием государственных услуг;</w:t>
      </w:r>
    </w:p>
    <w:p w:rsidR="005838DC" w:rsidRPr="005838DC" w:rsidRDefault="005838DC" w:rsidP="005838DC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исключение из состава перечня условий оплаты труда, устанавливаемых Положением о системах оплаты труда работников учреждений, утверждаемого Правительством Ленинградской области (часть 3 статьи 2 закона № 32-оз):</w:t>
      </w:r>
    </w:p>
    <w:p w:rsidR="005838DC" w:rsidRPr="005838DC" w:rsidRDefault="005838DC" w:rsidP="005838DC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квалификационных уровней, т.к. квалификационные уровни определяются приказами федеральных органов исполнительной власти, а в соответствии с Едиными рекомендациями по установлению на федеральном, региональном и местном уровнях систем оплаты труда работников государственных и муниципальных учреждений на 2019 год (утв. решением Российской трехсторонней 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комиссии по регулированию социально-трудовых отношений от 25 декабря 2018 года, далее – Единые рекомендации), органы государственной власти не вправе «формировать и утверждать профессиональные квалификационные группы, квалификационные уровни профессиональных квалификационных групп и критерии отнесения профессий рабочих и должностей служащих к профессиональным квалификационным группам» (п.33 Единых рекомендаций);</w:t>
      </w:r>
    </w:p>
    <w:p w:rsidR="005838DC" w:rsidRPr="005838DC" w:rsidRDefault="005838DC" w:rsidP="005838DC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порядка установления стимулирующих персональных надбавок, т.к. в новой редакции Положения о системах оплаты труда работников учреждений планируется перевести большую часть указанных персональных надбавок (в </w:t>
      </w:r>
      <w:proofErr w:type="spellStart"/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 квалификационную категорию) в состав повышающих коэффициентов к должностным окладам, перераспределив из состава стимулирующих в состав гарантированных выплат;</w:t>
      </w:r>
    </w:p>
    <w:p w:rsidR="005838DC" w:rsidRPr="005838DC" w:rsidRDefault="005838DC" w:rsidP="005838DC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форм тарификационных списков (которые предполагается утверждать нормативными правовыми актами уполномоченных органов). </w:t>
      </w:r>
    </w:p>
    <w:p w:rsidR="005838DC" w:rsidRPr="005838DC" w:rsidRDefault="005838DC" w:rsidP="005838DC">
      <w:pPr>
        <w:tabs>
          <w:tab w:val="left" w:pos="0"/>
        </w:tabs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включение в состав Положения о системах оплаты труда работников учреждений, утверждаемого Правительством Ленинградской области:</w:t>
      </w:r>
    </w:p>
    <w:p w:rsidR="005838DC" w:rsidRPr="005838DC" w:rsidRDefault="005838DC" w:rsidP="005838DC">
      <w:pPr>
        <w:tabs>
          <w:tab w:val="left" w:pos="0"/>
        </w:tabs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порядка установления повышающих коэффициентов к должностным окладам (окладам, ставкам заработной платы), которые должны </w:t>
      </w:r>
      <w:r w:rsidR="00CD6D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собой большую часть существующих сегодня персональных надбавок и некоторые выплаты компенсационного характера.</w:t>
      </w:r>
    </w:p>
    <w:p w:rsidR="005838DC" w:rsidRPr="005838DC" w:rsidRDefault="005838DC" w:rsidP="005838DC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уже указывалось выше, это позволит, с одной стороны, повысить защищенность работников государственных учреждений (посредством перевода стимулирующих выплат в состав гарантированной части заработной платы), а с другой – исключить из состава стимулирующих выплат те выплаты, которые таковыми на самом деле не являются и на практике зачастую занижают фонд стимулирования учреждений.</w:t>
      </w:r>
    </w:p>
    <w:p w:rsidR="005838DC" w:rsidRPr="005838DC" w:rsidRDefault="005838DC" w:rsidP="005838DC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установления повышающих коэффициентов к окладам широко распространена на уровне федеральных государственных учреждений, государственных учреждений субъектов Российской Федерации и предусмотрена Едиными рекомендациями (п. 33, п. 36, п.39);</w:t>
      </w:r>
    </w:p>
    <w:p w:rsidR="005838DC" w:rsidRPr="005838DC" w:rsidRDefault="005838DC" w:rsidP="005838DC">
      <w:pPr>
        <w:tabs>
          <w:tab w:val="left" w:pos="0"/>
        </w:tabs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установление порядка расчета размера не фиксированного должностного оклада (оклада, ставки заработной платы), а минимального </w:t>
      </w:r>
      <w:r w:rsidR="00885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уровня 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должностного оклада (оклада, ставки заработной платы).</w:t>
      </w:r>
    </w:p>
    <w:p w:rsidR="00D1006B" w:rsidRDefault="00D1006B" w:rsidP="005838DC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дной из ключевых рекомендаций субъектам Российской Федерации, предусмотренной п. 30 Единых рекомендаций</w:t>
      </w:r>
      <w:r w:rsidR="00CD6D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установление при совершенствовании систем оплаты труда работников учреждений минимальных окладов (минимальных должностных окладов), минимальных ставок заработной платы по профессиональным квалификационным группам (квалификационным уровням профессиональных квалификационных групп), что позволяет:</w:t>
      </w:r>
    </w:p>
    <w:p w:rsidR="005838DC" w:rsidRPr="005838DC" w:rsidRDefault="005838DC" w:rsidP="005838DC">
      <w:pPr>
        <w:tabs>
          <w:tab w:val="left" w:pos="0"/>
        </w:tabs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обеспечивать на уровне отдельных государственных учреждений эффективное соотношение гарантированной и стимулирующей части заработной платы, в том числе соответствующих рекомендациям федеральных органов исполнительной власти;</w:t>
      </w:r>
    </w:p>
    <w:p w:rsidR="005838DC" w:rsidRPr="005838DC" w:rsidRDefault="005838DC" w:rsidP="005838DC">
      <w:pPr>
        <w:tabs>
          <w:tab w:val="left" w:pos="0"/>
        </w:tabs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исключить существующие перекосы в оплате труда работников, в том числе предусматривающих стимулирующие выплаты, по факту имеющие характер гарантированной оплаты (в виде фиксированных стимулирующих надбавок, не зависящих от результатов труда);</w:t>
      </w:r>
    </w:p>
    <w:p w:rsidR="005838DC" w:rsidRPr="005838DC" w:rsidRDefault="005838DC" w:rsidP="005838DC">
      <w:pPr>
        <w:tabs>
          <w:tab w:val="left" w:pos="0"/>
        </w:tabs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осуществить плавный переход государственных учреждений к новой системе оплаты труда, в рамках которого они должны обеспечить </w:t>
      </w:r>
      <w:proofErr w:type="spellStart"/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неснижение</w:t>
      </w:r>
      <w:proofErr w:type="spellEnd"/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размера оплаты труда каждого работника (без учета стимулирующих выплат), предусмотренное статьей 5 закона № 32-оз, а также </w:t>
      </w:r>
      <w:r w:rsidR="00F110F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Едиными рекомендациями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38DC" w:rsidRPr="005838DC" w:rsidRDefault="005838DC" w:rsidP="005838DC">
      <w:pPr>
        <w:tabs>
          <w:tab w:val="left" w:pos="0"/>
        </w:tabs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15C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выравнивания</w:t>
      </w: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должностных окладов заместителей руководителя учреждения и главного бухгалтера (на основе предложений государственных учреждений Ленинградской области, полученных в рамках работы над новой редакцией Положения о системах оплаты труда работников учреждений).</w:t>
      </w:r>
    </w:p>
    <w:p w:rsidR="005838DC" w:rsidRPr="005838DC" w:rsidRDefault="005838DC" w:rsidP="005838DC">
      <w:pPr>
        <w:tabs>
          <w:tab w:val="left" w:pos="0"/>
        </w:tabs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вышеуказанных новаций законопроект предусматривает исключение положений, дублирующих федеральное законодательство (понятия стимулирующих и компенсационных выплат, структуру заработной платы работников и руководителей и др.).</w:t>
      </w:r>
    </w:p>
    <w:p w:rsidR="005838DC" w:rsidRPr="005838DC" w:rsidRDefault="005838DC" w:rsidP="005838DC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закона не содержит положений, предполагающих выделение государственным учреждениям Ленинградской области дополнительных бюджетных ассигнований.  Предусматриваемое повышение должностных окладов главных бухгалтеров государственных учреждений будет осуществлено в пределах утвержденных для соответствующих государственных  учреждений бюджетных ассигнований.</w:t>
      </w:r>
    </w:p>
    <w:p w:rsidR="005838DC" w:rsidRPr="005838DC" w:rsidRDefault="005838DC" w:rsidP="005838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закона не затрагивает вопросы осуществления предпринимательской и инвестиционной деятельности и не требует проведения оценки регулирующего воздействия.</w:t>
      </w:r>
    </w:p>
    <w:p w:rsidR="005838DC" w:rsidRPr="005838DC" w:rsidRDefault="005838DC" w:rsidP="00583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38DC" w:rsidRPr="005838DC" w:rsidRDefault="005838DC" w:rsidP="005838DC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8DC" w:rsidRPr="005838DC" w:rsidRDefault="005838DC" w:rsidP="005838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8DC"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</w:p>
    <w:p w:rsidR="005838DC" w:rsidRPr="005838DC" w:rsidRDefault="005838DC" w:rsidP="005838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8DC">
        <w:rPr>
          <w:rFonts w:ascii="Times New Roman" w:hAnsi="Times New Roman" w:cs="Times New Roman"/>
          <w:sz w:val="28"/>
          <w:szCs w:val="28"/>
        </w:rPr>
        <w:t>Председателя Правительства</w:t>
      </w:r>
    </w:p>
    <w:p w:rsidR="005838DC" w:rsidRPr="005838DC" w:rsidRDefault="005838DC" w:rsidP="005838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8DC">
        <w:rPr>
          <w:rFonts w:ascii="Times New Roman" w:hAnsi="Times New Roman" w:cs="Times New Roman"/>
          <w:sz w:val="28"/>
          <w:szCs w:val="28"/>
        </w:rPr>
        <w:t>Ленинградской области –</w:t>
      </w:r>
    </w:p>
    <w:p w:rsidR="005838DC" w:rsidRPr="005838DC" w:rsidRDefault="005838DC" w:rsidP="005838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38DC">
        <w:rPr>
          <w:rFonts w:ascii="Times New Roman" w:hAnsi="Times New Roman" w:cs="Times New Roman"/>
          <w:sz w:val="28"/>
          <w:szCs w:val="28"/>
        </w:rPr>
        <w:t xml:space="preserve">председатель комитета финансов                                                             </w:t>
      </w:r>
      <w:r w:rsidR="002E0C52">
        <w:rPr>
          <w:rFonts w:ascii="Times New Roman" w:hAnsi="Times New Roman" w:cs="Times New Roman"/>
          <w:sz w:val="28"/>
          <w:szCs w:val="28"/>
        </w:rPr>
        <w:t xml:space="preserve">    </w:t>
      </w:r>
      <w:r w:rsidRPr="005838DC">
        <w:rPr>
          <w:rFonts w:ascii="Times New Roman" w:hAnsi="Times New Roman" w:cs="Times New Roman"/>
          <w:sz w:val="28"/>
          <w:szCs w:val="28"/>
        </w:rPr>
        <w:t>Р.И. Марков</w:t>
      </w:r>
      <w:r w:rsidRPr="005838DC">
        <w:rPr>
          <w:rFonts w:ascii="Times New Roman" w:hAnsi="Times New Roman"/>
          <w:sz w:val="28"/>
          <w:szCs w:val="28"/>
        </w:rPr>
        <w:t xml:space="preserve">         </w:t>
      </w:r>
    </w:p>
    <w:p w:rsidR="005838DC" w:rsidRPr="005838DC" w:rsidRDefault="005838DC" w:rsidP="005838DC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BC4" w:rsidRDefault="007C0BC4">
      <w:bookmarkStart w:id="0" w:name="_GoBack"/>
      <w:bookmarkEnd w:id="0"/>
    </w:p>
    <w:sectPr w:rsidR="007C0BC4" w:rsidSect="006C3944">
      <w:foot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478" w:rsidRDefault="00885BCA">
      <w:pPr>
        <w:spacing w:after="0" w:line="240" w:lineRule="auto"/>
      </w:pPr>
      <w:r>
        <w:separator/>
      </w:r>
    </w:p>
  </w:endnote>
  <w:endnote w:type="continuationSeparator" w:id="0">
    <w:p w:rsidR="00617478" w:rsidRDefault="00885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934481"/>
      <w:docPartObj>
        <w:docPartGallery w:val="Page Numbers (Bottom of Page)"/>
        <w:docPartUnique/>
      </w:docPartObj>
    </w:sdtPr>
    <w:sdtEndPr>
      <w:rPr>
        <w:rFonts w:ascii="Verdana" w:hAnsi="Verdana"/>
        <w:b/>
        <w:color w:val="808080" w:themeColor="background1" w:themeShade="80"/>
        <w:sz w:val="16"/>
        <w:szCs w:val="16"/>
      </w:rPr>
    </w:sdtEndPr>
    <w:sdtContent>
      <w:p w:rsidR="00AA54E9" w:rsidRDefault="002E0C52">
        <w:pPr>
          <w:pStyle w:val="a3"/>
          <w:jc w:val="center"/>
        </w:pPr>
      </w:p>
      <w:p w:rsidR="00AA54E9" w:rsidRPr="00AA54E9" w:rsidRDefault="005838DC">
        <w:pPr>
          <w:pStyle w:val="a3"/>
          <w:jc w:val="center"/>
          <w:rPr>
            <w:rFonts w:ascii="Verdana" w:hAnsi="Verdana"/>
            <w:b/>
            <w:color w:val="808080" w:themeColor="background1" w:themeShade="80"/>
            <w:sz w:val="16"/>
            <w:szCs w:val="16"/>
          </w:rPr>
        </w:pPr>
        <w:r w:rsidRPr="00AA54E9">
          <w:rPr>
            <w:rFonts w:ascii="Verdana" w:hAnsi="Verdana"/>
            <w:b/>
            <w:color w:val="808080" w:themeColor="background1" w:themeShade="80"/>
            <w:sz w:val="16"/>
            <w:szCs w:val="16"/>
          </w:rPr>
          <w:fldChar w:fldCharType="begin"/>
        </w:r>
        <w:r w:rsidRPr="00AA54E9">
          <w:rPr>
            <w:rFonts w:ascii="Verdana" w:hAnsi="Verdana"/>
            <w:b/>
            <w:color w:val="808080" w:themeColor="background1" w:themeShade="80"/>
            <w:sz w:val="16"/>
            <w:szCs w:val="16"/>
          </w:rPr>
          <w:instrText>PAGE   \* MERGEFORMAT</w:instrText>
        </w:r>
        <w:r w:rsidRPr="00AA54E9">
          <w:rPr>
            <w:rFonts w:ascii="Verdana" w:hAnsi="Verdana"/>
            <w:b/>
            <w:color w:val="808080" w:themeColor="background1" w:themeShade="80"/>
            <w:sz w:val="16"/>
            <w:szCs w:val="16"/>
          </w:rPr>
          <w:fldChar w:fldCharType="separate"/>
        </w:r>
        <w:r w:rsidR="002E0C52">
          <w:rPr>
            <w:rFonts w:ascii="Verdana" w:hAnsi="Verdana"/>
            <w:b/>
            <w:noProof/>
            <w:color w:val="808080" w:themeColor="background1" w:themeShade="80"/>
            <w:sz w:val="16"/>
            <w:szCs w:val="16"/>
          </w:rPr>
          <w:t>4</w:t>
        </w:r>
        <w:r w:rsidRPr="00AA54E9">
          <w:rPr>
            <w:rFonts w:ascii="Verdana" w:hAnsi="Verdana"/>
            <w:b/>
            <w:color w:val="808080" w:themeColor="background1" w:themeShade="80"/>
            <w:sz w:val="16"/>
            <w:szCs w:val="16"/>
          </w:rPr>
          <w:fldChar w:fldCharType="end"/>
        </w:r>
      </w:p>
    </w:sdtContent>
  </w:sdt>
  <w:p w:rsidR="00AA54E9" w:rsidRDefault="002E0C5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478" w:rsidRDefault="00885BCA">
      <w:pPr>
        <w:spacing w:after="0" w:line="240" w:lineRule="auto"/>
      </w:pPr>
      <w:r>
        <w:separator/>
      </w:r>
    </w:p>
  </w:footnote>
  <w:footnote w:type="continuationSeparator" w:id="0">
    <w:p w:rsidR="00617478" w:rsidRDefault="00885B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FD4"/>
    <w:rsid w:val="001B15C9"/>
    <w:rsid w:val="002E0C52"/>
    <w:rsid w:val="005838DC"/>
    <w:rsid w:val="00617478"/>
    <w:rsid w:val="007C0BC4"/>
    <w:rsid w:val="00885BCA"/>
    <w:rsid w:val="00CD6DF7"/>
    <w:rsid w:val="00D1006B"/>
    <w:rsid w:val="00E90FD4"/>
    <w:rsid w:val="00F1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838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5838D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838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5838D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1527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Саргсян Анна Гайковна</dc:creator>
  <cp:keywords/>
  <dc:description/>
  <cp:lastModifiedBy>Саргсян Анна Гайковна</cp:lastModifiedBy>
  <cp:revision>7</cp:revision>
  <cp:lastPrinted>2019-05-16T11:56:00Z</cp:lastPrinted>
  <dcterms:created xsi:type="dcterms:W3CDTF">2019-04-10T14:46:00Z</dcterms:created>
  <dcterms:modified xsi:type="dcterms:W3CDTF">2019-09-13T06:58:00Z</dcterms:modified>
</cp:coreProperties>
</file>