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ПОРЯДОК</w:t>
      </w:r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ПРЕДОСТАВЛЕНИЯ И РАСПРЕДЕЛЕНИЯ СУБСИДИЙ </w:t>
      </w:r>
      <w:proofErr w:type="gramStart"/>
      <w:r>
        <w:rPr>
          <w:rFonts w:ascii="Arial" w:hAnsi="Arial" w:cs="Arial"/>
          <w:sz w:val="20"/>
          <w:szCs w:val="20"/>
        </w:rPr>
        <w:t>ИЗ</w:t>
      </w:r>
      <w:proofErr w:type="gramEnd"/>
      <w:r>
        <w:rPr>
          <w:rFonts w:ascii="Arial" w:hAnsi="Arial" w:cs="Arial"/>
          <w:sz w:val="20"/>
          <w:szCs w:val="20"/>
        </w:rPr>
        <w:t xml:space="preserve"> ОБЛАСТНОГО</w:t>
      </w:r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БЮДЖЕТА ЛЕНИНГРАДСКОЙ ОБЛАСТИ БЮДЖЕТАМ </w:t>
      </w:r>
      <w:proofErr w:type="gramStart"/>
      <w:r>
        <w:rPr>
          <w:rFonts w:ascii="Arial" w:hAnsi="Arial" w:cs="Arial"/>
          <w:sz w:val="20"/>
          <w:szCs w:val="20"/>
        </w:rPr>
        <w:t>МУНИЦИПАЛЬНЫХ</w:t>
      </w:r>
      <w:proofErr w:type="gramEnd"/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ОБРАЗОВАНИЙ ЛЕНИНГРАДСКОЙ ОБЛАСТИ НА ОБЕСПЕЧЕНИЕ</w:t>
      </w:r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СТИМУЛИРУЮЩИХ ВЫПЛАТ РАБОТНИКАМ МУНИЦИПАЛЬНЫХ УЧРЕЖДЕНИЙ</w:t>
      </w:r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КУЛЬТУРЫ ЛЕНИНГРАДСКОЙ ОБЛАСТИ В РАМКАХ ГОСУДАРСТВЕННОЙ</w:t>
      </w:r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ПРОГРАММЫ ЛЕНИНГРАДСКОЙ ОБЛАСТИ "РАЗВИТИЕ КУЛЬТУРЫ</w:t>
      </w:r>
    </w:p>
    <w:p w:rsidR="00B13184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В ЛЕНИНГРАДСКОЙ ОБЛАСТИ"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1. Общие положения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1.1. </w:t>
      </w:r>
      <w:proofErr w:type="gramStart"/>
      <w:r w:rsidRPr="00032DF9">
        <w:rPr>
          <w:rFonts w:ascii="Arial" w:hAnsi="Arial" w:cs="Arial"/>
          <w:sz w:val="24"/>
          <w:szCs w:val="24"/>
        </w:rPr>
        <w:t>Настоящий Порядок определяет цели, условия, порядок предоставления субсидий из областного бюджета Ленинградской области бюджетам муниципальных образований Ленинградской области (далее - муниципальные образования) на обеспечение стимулирующих выплат работникам муниципальных учреждений культуры Ленинградской области в рамках подпрограммы "Обеспечение реализации государственной программы" государственной программы Ленинградской области "Развитие культуры в Ленинградской области" (далее - субсидии) и критерии отбора муниципальных образований для предоставления субсидии.</w:t>
      </w:r>
      <w:proofErr w:type="gramEnd"/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1.2. Субсидии предоставляются бюджетам муниципальных образований Ленинградской области в соответствии со сводной бюджетной росписью областного бюджета Ленинградской области на текущий финансовый год в пределах бюджетных ассигнований и лимитов бюджетных обязательств, предусмотренных в установленном порядке главному распорядителю бюджетных средств - комитету по культуре Ленинградской области (далее - комитет).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1.3. Субсидии предоставляются на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софинансирование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расходных обязательств бюджетов муниципальных образований, возникающих при выполнении полномочий органов местного самоуправления по следующим вопросам местного значения: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организация библиотечного обслуживания населения;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создание условий для организации досуга и обеспечения жителей услугами организаций культуры.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2. Цели и условия предоставления субсидий, критерии отбора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муниципальных образований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2.1. Субсидии предоставляются в целях сохранения квалифицированных кадров и стимулирования повышения эффективности и качества предоставляемых услуг муниципальных учреждений культуры в зависимости от квалификации работника, сложности выполняемой работы, количества и качества затраченного труда с учетом показателей и критериев оценки эффективности труда работников.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2.2. Целевыми показателями результативности использования субсидии муниципальными образованиями (далее - целевые показатели результативности) являются: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положительная динамика изменения среднемесячной заработной платы работников муниципальных учреждений культуры Ленинградской области;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соотношение средней заработной платы работников муниципальных учреждений культуры и средней заработной платы в Ленинградской области.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lastRenderedPageBreak/>
        <w:t xml:space="preserve">Значения целевых показателей результативности определяются в соответствии с </w:t>
      </w:r>
      <w:proofErr w:type="gramStart"/>
      <w:r w:rsidRPr="00032DF9">
        <w:rPr>
          <w:rFonts w:ascii="Arial" w:hAnsi="Arial" w:cs="Arial"/>
          <w:sz w:val="24"/>
          <w:szCs w:val="24"/>
        </w:rPr>
        <w:t>единой формулой, учитывающей особенности муниципальных образований и устанавливаются</w:t>
      </w:r>
      <w:proofErr w:type="gramEnd"/>
      <w:r w:rsidRPr="00032DF9">
        <w:rPr>
          <w:rFonts w:ascii="Arial" w:hAnsi="Arial" w:cs="Arial"/>
          <w:sz w:val="24"/>
          <w:szCs w:val="24"/>
        </w:rPr>
        <w:t xml:space="preserve"> соглашением о предоставлении субсидии, заключаемым между комитетом и муниципальным образованием (далее - соглашение).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2.3. Критерием отбора муниципальных образований для предоставления субсидий является наличие на территории муниципального образования муниципальных учреждений (структурных подразделений муниципальных учреждений), предоставляющих услуги в сфере культуры.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2.4. Субсидии предоставляются при соблюдении следующих условий: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а) наличия в бюджете муниципального образования бюджетных ассигнований на исполнение обязательств,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за счет субсидий;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б) наличия утвержденной муниципальной программы, предусматривающей мероприятия, соответствующие целям государственной программы Ленинградской области;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в) заключения муниципальным образованием в установленные сроки соглашения;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г) соблюдения муниципальным образованием минимальной доли расходов на финансирование расходных обязательств,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за счет субсидий (далее - минимальная доля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32DF9">
        <w:rPr>
          <w:rFonts w:ascii="Arial" w:hAnsi="Arial" w:cs="Arial"/>
          <w:sz w:val="24"/>
          <w:szCs w:val="24"/>
        </w:rPr>
        <w:t>).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д) соблюдения условий предоставления межбюджетных трансфертов из областного бюджета Ленинградской области, установленных </w:t>
      </w:r>
      <w:hyperlink r:id="rId5" w:history="1">
        <w:r w:rsidRPr="00032DF9">
          <w:rPr>
            <w:rFonts w:ascii="Arial" w:hAnsi="Arial" w:cs="Arial"/>
            <w:color w:val="0000FF"/>
            <w:sz w:val="24"/>
            <w:szCs w:val="24"/>
          </w:rPr>
          <w:t>пунктами 2</w:t>
        </w:r>
      </w:hyperlink>
      <w:r w:rsidRPr="00032DF9">
        <w:rPr>
          <w:rFonts w:ascii="Arial" w:hAnsi="Arial" w:cs="Arial"/>
          <w:sz w:val="24"/>
          <w:szCs w:val="24"/>
        </w:rPr>
        <w:t xml:space="preserve"> - </w:t>
      </w:r>
      <w:hyperlink r:id="rId6" w:history="1">
        <w:r w:rsidRPr="00032DF9">
          <w:rPr>
            <w:rFonts w:ascii="Arial" w:hAnsi="Arial" w:cs="Arial"/>
            <w:color w:val="0000FF"/>
            <w:sz w:val="24"/>
            <w:szCs w:val="24"/>
          </w:rPr>
          <w:t>4 статьи 136</w:t>
        </w:r>
      </w:hyperlink>
      <w:r w:rsidRPr="00032DF9">
        <w:rPr>
          <w:rFonts w:ascii="Arial" w:hAnsi="Arial" w:cs="Arial"/>
          <w:sz w:val="24"/>
          <w:szCs w:val="24"/>
        </w:rPr>
        <w:t xml:space="preserve"> Бюджетного кодекса Российской Федерации;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е) отсутствия просроченной задолженности по выплате заработной платы работникам муниципальных учреждений Ленинградской области.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Соглашение заключается по типовой форме, установленной комитетом, не позднее 1 апреля года предоставления субсидий. В </w:t>
      </w:r>
      <w:proofErr w:type="gramStart"/>
      <w:r w:rsidRPr="00032DF9">
        <w:rPr>
          <w:rFonts w:ascii="Arial" w:hAnsi="Arial" w:cs="Arial"/>
          <w:sz w:val="24"/>
          <w:szCs w:val="24"/>
        </w:rPr>
        <w:t>случае</w:t>
      </w:r>
      <w:proofErr w:type="gramEnd"/>
      <w:r w:rsidRPr="00032DF9">
        <w:rPr>
          <w:rFonts w:ascii="Arial" w:hAnsi="Arial" w:cs="Arial"/>
          <w:sz w:val="24"/>
          <w:szCs w:val="24"/>
        </w:rPr>
        <w:t xml:space="preserve"> изменения размера субсидии в текущем финансовом году соглашение заключается в течение 10 рабочих дней после утверждения распределения субсидии.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Соглашение должно устанавливать в том числе: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а) объем субсидий, подлежащий предоставлению из областного бюджета Ленинградской области;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б) значения целевых показателей результативности;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в) значение минимальной доли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32DF9">
        <w:rPr>
          <w:rFonts w:ascii="Arial" w:hAnsi="Arial" w:cs="Arial"/>
          <w:sz w:val="24"/>
          <w:szCs w:val="24"/>
        </w:rPr>
        <w:t>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г) обязанность муниципального образования в случае </w:t>
      </w:r>
      <w:proofErr w:type="spellStart"/>
      <w:r w:rsidRPr="00032DF9">
        <w:rPr>
          <w:rFonts w:ascii="Arial" w:hAnsi="Arial" w:cs="Arial"/>
          <w:sz w:val="24"/>
          <w:szCs w:val="24"/>
        </w:rPr>
        <w:t>недостижения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значений целевых показателей результативности вернуть в областной бюджет Ленинградской области средства в объеме, определяемом в соответствии с </w:t>
      </w:r>
      <w:hyperlink r:id="rId7" w:history="1">
        <w:r w:rsidRPr="00032DF9">
          <w:rPr>
            <w:rFonts w:ascii="Arial" w:hAnsi="Arial" w:cs="Arial"/>
            <w:color w:val="0000FF"/>
            <w:sz w:val="24"/>
            <w:szCs w:val="24"/>
          </w:rPr>
          <w:t>разделом 6</w:t>
        </w:r>
      </w:hyperlink>
      <w:r w:rsidRPr="00032DF9">
        <w:rPr>
          <w:rFonts w:ascii="Arial" w:hAnsi="Arial" w:cs="Arial"/>
          <w:sz w:val="24"/>
          <w:szCs w:val="24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Правила);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д) обязанность муниципального образования по соблюдению фактической доли расходов бюджета муниципального образования на финансирование обязательств,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софинансируемых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за счет субсидий, в отчетном году;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lastRenderedPageBreak/>
        <w:t>е) сроки и порядок представления отчетов о достижении значений целевых показателей результативности;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ж) сроки и порядок представления отчетов о расходах бюджета муниципального образования, источником финансового обеспечения которых являются субсидии;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з) порядок осуществления главными распорядителями бюджетных средств </w:t>
      </w:r>
      <w:proofErr w:type="gramStart"/>
      <w:r w:rsidRPr="00032DF9">
        <w:rPr>
          <w:rFonts w:ascii="Arial" w:hAnsi="Arial" w:cs="Arial"/>
          <w:sz w:val="24"/>
          <w:szCs w:val="24"/>
        </w:rPr>
        <w:t>контроля за</w:t>
      </w:r>
      <w:proofErr w:type="gramEnd"/>
      <w:r w:rsidRPr="00032DF9">
        <w:rPr>
          <w:rFonts w:ascii="Arial" w:hAnsi="Arial" w:cs="Arial"/>
          <w:sz w:val="24"/>
          <w:szCs w:val="24"/>
        </w:rPr>
        <w:t xml:space="preserve"> исполнением муниципальным образованием обязательств, предусмотренных соглашением.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3. Методика распределения субсидий между </w:t>
      </w:r>
      <w:proofErr w:type="gramStart"/>
      <w:r w:rsidRPr="00032DF9">
        <w:rPr>
          <w:rFonts w:ascii="Arial" w:hAnsi="Arial" w:cs="Arial"/>
          <w:sz w:val="24"/>
          <w:szCs w:val="24"/>
        </w:rPr>
        <w:t>муниципальными</w:t>
      </w:r>
      <w:proofErr w:type="gramEnd"/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образованиями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3.1. Минимальная доля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определяется для муниципального образования по следующей формуле: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noProof/>
          <w:position w:val="-25"/>
          <w:sz w:val="24"/>
          <w:szCs w:val="24"/>
          <w:lang w:eastAsia="ru-RU"/>
        </w:rPr>
        <w:drawing>
          <wp:inline distT="0" distB="0" distL="0" distR="0" wp14:anchorId="3939FC03" wp14:editId="0085C4A1">
            <wp:extent cx="1329055" cy="44323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9055" cy="44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где: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ДС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- минимальная доля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для i-</w:t>
      </w:r>
      <w:proofErr w:type="spellStart"/>
      <w:r w:rsidRPr="00032DF9">
        <w:rPr>
          <w:rFonts w:ascii="Arial" w:hAnsi="Arial" w:cs="Arial"/>
          <w:sz w:val="24"/>
          <w:szCs w:val="24"/>
        </w:rPr>
        <w:t>го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муниципального образования;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ДС</w:t>
      </w:r>
      <w:r w:rsidRPr="00032DF9">
        <w:rPr>
          <w:rFonts w:ascii="Arial" w:hAnsi="Arial" w:cs="Arial"/>
          <w:sz w:val="24"/>
          <w:szCs w:val="24"/>
          <w:vertAlign w:val="subscript"/>
        </w:rPr>
        <w:t>б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базовый процент (доля) финансирования за счет средств бюджета муниципального образования обязательств, на исполнение которых предоставляются субсидии;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РБО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- расчетная бюджетная обеспеченность i-</w:t>
      </w:r>
      <w:proofErr w:type="spellStart"/>
      <w:r w:rsidRPr="00032DF9">
        <w:rPr>
          <w:rFonts w:ascii="Arial" w:hAnsi="Arial" w:cs="Arial"/>
          <w:sz w:val="24"/>
          <w:szCs w:val="24"/>
        </w:rPr>
        <w:t>го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муниципального образования после выравнивания;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РБО</w:t>
      </w:r>
      <w:r w:rsidRPr="00032DF9">
        <w:rPr>
          <w:rFonts w:ascii="Arial" w:hAnsi="Arial" w:cs="Arial"/>
          <w:sz w:val="24"/>
          <w:szCs w:val="24"/>
          <w:vertAlign w:val="subscript"/>
        </w:rPr>
        <w:t>ср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средняя расчетная бюджетная обеспеченность муниципальных образований после выравнивания.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Базовый процент финансирования за счет средств бюджета муниципального образования обязательств, на исполнение которых предоставляются субсидии, устанавливается в размере 0,5.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3.2. Распределение субсидии осуществляется исходя из расчетного объема средств, необходимого для достижения значений целевых показателей результативности, по следующей формуле: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С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= </w:t>
      </w:r>
      <w:proofErr w:type="spellStart"/>
      <w:r w:rsidRPr="00032DF9">
        <w:rPr>
          <w:rFonts w:ascii="Arial" w:hAnsi="Arial" w:cs="Arial"/>
          <w:sz w:val="24"/>
          <w:szCs w:val="24"/>
        </w:rPr>
        <w:t>РОС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x (1 - </w:t>
      </w:r>
      <w:proofErr w:type="spellStart"/>
      <w:r w:rsidRPr="00032DF9">
        <w:rPr>
          <w:rFonts w:ascii="Arial" w:hAnsi="Arial" w:cs="Arial"/>
          <w:sz w:val="24"/>
          <w:szCs w:val="24"/>
        </w:rPr>
        <w:t>ДС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r w:rsidRPr="00032DF9">
        <w:rPr>
          <w:rFonts w:ascii="Arial" w:hAnsi="Arial" w:cs="Arial"/>
          <w:sz w:val="24"/>
          <w:szCs w:val="24"/>
        </w:rPr>
        <w:t>),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где: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РОС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- расчетный объем расходов, необходимый для достижения значений целевых показателей результативности i-м муниципальным образованием.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Расчетный объем расходов (</w:t>
      </w:r>
      <w:proofErr w:type="spellStart"/>
      <w:r w:rsidRPr="00032DF9">
        <w:rPr>
          <w:rFonts w:ascii="Arial" w:hAnsi="Arial" w:cs="Arial"/>
          <w:sz w:val="24"/>
          <w:szCs w:val="24"/>
        </w:rPr>
        <w:t>РОС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>), необходимый для достижения значений целевых показателей результативности i-м муниципальным образованием, определяется по следующей формуле: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РОС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= (</w:t>
      </w:r>
      <w:proofErr w:type="spellStart"/>
      <w:r w:rsidRPr="00032DF9">
        <w:rPr>
          <w:rFonts w:ascii="Arial" w:hAnsi="Arial" w:cs="Arial"/>
          <w:sz w:val="24"/>
          <w:szCs w:val="24"/>
        </w:rPr>
        <w:t>С</w:t>
      </w:r>
      <w:r w:rsidRPr="00032DF9">
        <w:rPr>
          <w:rFonts w:ascii="Arial" w:hAnsi="Arial" w:cs="Arial"/>
          <w:sz w:val="24"/>
          <w:szCs w:val="24"/>
          <w:vertAlign w:val="subscript"/>
        </w:rPr>
        <w:t>iтек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/ 0,5 x </w:t>
      </w:r>
      <w:proofErr w:type="spellStart"/>
      <w:r w:rsidRPr="00032DF9">
        <w:rPr>
          <w:rFonts w:ascii="Arial" w:hAnsi="Arial" w:cs="Arial"/>
          <w:sz w:val="24"/>
          <w:szCs w:val="24"/>
        </w:rPr>
        <w:t>Ч</w:t>
      </w:r>
      <w:r w:rsidRPr="00032DF9">
        <w:rPr>
          <w:rFonts w:ascii="Arial" w:hAnsi="Arial" w:cs="Arial"/>
          <w:sz w:val="24"/>
          <w:szCs w:val="24"/>
          <w:vertAlign w:val="subscript"/>
        </w:rPr>
        <w:t>iплан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032DF9">
        <w:rPr>
          <w:rFonts w:ascii="Arial" w:hAnsi="Arial" w:cs="Arial"/>
          <w:sz w:val="24"/>
          <w:szCs w:val="24"/>
        </w:rPr>
        <w:t>Ч</w:t>
      </w:r>
      <w:r w:rsidRPr="00032DF9">
        <w:rPr>
          <w:rFonts w:ascii="Arial" w:hAnsi="Arial" w:cs="Arial"/>
          <w:sz w:val="24"/>
          <w:szCs w:val="24"/>
          <w:vertAlign w:val="subscript"/>
        </w:rPr>
        <w:t>iтек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+ </w:t>
      </w:r>
      <w:proofErr w:type="spellStart"/>
      <w:r w:rsidRPr="00032DF9">
        <w:rPr>
          <w:rFonts w:ascii="Arial" w:hAnsi="Arial" w:cs="Arial"/>
          <w:sz w:val="24"/>
          <w:szCs w:val="24"/>
        </w:rPr>
        <w:t>Р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r w:rsidRPr="00032DF9">
        <w:rPr>
          <w:rFonts w:ascii="Arial" w:hAnsi="Arial" w:cs="Arial"/>
          <w:sz w:val="24"/>
          <w:szCs w:val="24"/>
        </w:rPr>
        <w:t>),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где: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lastRenderedPageBreak/>
        <w:t>С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размер субсидии, предоставленной бюджету i-</w:t>
      </w:r>
      <w:proofErr w:type="spellStart"/>
      <w:r w:rsidRPr="00032DF9">
        <w:rPr>
          <w:rFonts w:ascii="Arial" w:hAnsi="Arial" w:cs="Arial"/>
          <w:sz w:val="24"/>
          <w:szCs w:val="24"/>
        </w:rPr>
        <w:t>го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муниципального образования в текущем году;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0,5 - объем </w:t>
      </w:r>
      <w:proofErr w:type="spellStart"/>
      <w:r w:rsidRPr="00032DF9">
        <w:rPr>
          <w:rFonts w:ascii="Arial" w:hAnsi="Arial" w:cs="Arial"/>
          <w:sz w:val="24"/>
          <w:szCs w:val="24"/>
        </w:rPr>
        <w:t>софинансирования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расходных обязательств бюджетов муниципальных образований из областного бюджета Ленинградской области;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- дополнительная потребность для достижения целевых показателей результативности на очередной финансовый год;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Ч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планируемая численность работников списочного состава (без внешних совместителей) муниципальных учреждений культуры i-</w:t>
      </w:r>
      <w:proofErr w:type="spellStart"/>
      <w:r w:rsidRPr="00032DF9">
        <w:rPr>
          <w:rFonts w:ascii="Arial" w:hAnsi="Arial" w:cs="Arial"/>
          <w:sz w:val="24"/>
          <w:szCs w:val="24"/>
        </w:rPr>
        <w:t>го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муниципального образования на очередной финансовый год;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Ч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численность работников муниципальных учреждений культуры, используемая при расчете субсидии в текущем году;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proofErr w:type="gramEnd"/>
      <w:r w:rsidRPr="00032DF9">
        <w:rPr>
          <w:rFonts w:ascii="Arial" w:hAnsi="Arial" w:cs="Arial"/>
          <w:sz w:val="24"/>
          <w:szCs w:val="24"/>
        </w:rPr>
        <w:t xml:space="preserve"> - расчетная дополнительная потребность для достижения целевых показателей результативности в очередном финансовом году, определяемая по следующей формуле: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r w:rsidRPr="00032DF9">
        <w:rPr>
          <w:rFonts w:ascii="Arial" w:hAnsi="Arial" w:cs="Arial"/>
          <w:sz w:val="24"/>
          <w:szCs w:val="24"/>
        </w:rPr>
        <w:t>Р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= (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) x </w:t>
      </w:r>
      <w:proofErr w:type="spellStart"/>
      <w:r w:rsidRPr="00032DF9">
        <w:rPr>
          <w:rFonts w:ascii="Arial" w:hAnsi="Arial" w:cs="Arial"/>
          <w:sz w:val="24"/>
          <w:szCs w:val="24"/>
        </w:rPr>
        <w:t>Ч</w:t>
      </w:r>
      <w:r w:rsidRPr="00032DF9">
        <w:rPr>
          <w:rFonts w:ascii="Arial" w:hAnsi="Arial" w:cs="Arial"/>
          <w:sz w:val="24"/>
          <w:szCs w:val="24"/>
          <w:vertAlign w:val="subscript"/>
        </w:rPr>
        <w:t>iплан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x 12 x</w:t>
      </w:r>
      <w:proofErr w:type="gramStart"/>
      <w:r w:rsidRPr="00032DF9">
        <w:rPr>
          <w:rFonts w:ascii="Arial" w:hAnsi="Arial" w:cs="Arial"/>
          <w:sz w:val="24"/>
          <w:szCs w:val="24"/>
        </w:rPr>
        <w:t xml:space="preserve"> К</w:t>
      </w:r>
      <w:proofErr w:type="gramEnd"/>
      <w:r w:rsidRPr="00032DF9">
        <w:rPr>
          <w:rFonts w:ascii="Arial" w:hAnsi="Arial" w:cs="Arial"/>
          <w:sz w:val="24"/>
          <w:szCs w:val="24"/>
        </w:rPr>
        <w:t>,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где: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032DF9">
        <w:rPr>
          <w:rFonts w:ascii="Arial" w:hAnsi="Arial" w:cs="Arial"/>
          <w:sz w:val="24"/>
          <w:szCs w:val="24"/>
        </w:rPr>
        <w:t>го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муниципального образования в текущем году;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целевое значение средней заработной платы работников муниципальных учреждений культуры i-</w:t>
      </w:r>
      <w:proofErr w:type="spellStart"/>
      <w:r w:rsidRPr="00032DF9">
        <w:rPr>
          <w:rFonts w:ascii="Arial" w:hAnsi="Arial" w:cs="Arial"/>
          <w:sz w:val="24"/>
          <w:szCs w:val="24"/>
        </w:rPr>
        <w:t>го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муниципального образования в очередном финансовом году, определяемое по следующей формуле: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=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цел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x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/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>,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где: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цел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целевое значение показателя среднемесячной заработной платы работников учреждений культуры в Ленинградской области, установленное правовым актом Ленинградской области на очередной финансовый год;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- целевое значение показателя среднемесячной заработной платы работников учреждений культуры в Ленинградской области, установленное правовым актом Ленинградской области на текущий финансовый год.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При этом соблюдаются следующие условия: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если </w:t>
      </w: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&gt;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=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цел</w:t>
      </w:r>
      <w:proofErr w:type="spellEnd"/>
      <w:r w:rsidRPr="00032DF9">
        <w:rPr>
          <w:rFonts w:ascii="Arial" w:hAnsi="Arial" w:cs="Arial"/>
          <w:sz w:val="24"/>
          <w:szCs w:val="24"/>
        </w:rPr>
        <w:t>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если </w:t>
      </w:r>
      <w:proofErr w:type="spellStart"/>
      <w:proofErr w:type="gram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&gt;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тек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iплан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= </w:t>
      </w:r>
      <w:proofErr w:type="spellStart"/>
      <w:r w:rsidRPr="00032DF9">
        <w:rPr>
          <w:rFonts w:ascii="Arial" w:hAnsi="Arial" w:cs="Arial"/>
          <w:sz w:val="24"/>
          <w:szCs w:val="24"/>
        </w:rPr>
        <w:t>Z</w:t>
      </w:r>
      <w:r w:rsidRPr="00032DF9">
        <w:rPr>
          <w:rFonts w:ascii="Arial" w:hAnsi="Arial" w:cs="Arial"/>
          <w:sz w:val="24"/>
          <w:szCs w:val="24"/>
          <w:vertAlign w:val="subscript"/>
        </w:rPr>
        <w:t>iтек</w:t>
      </w:r>
      <w:proofErr w:type="spellEnd"/>
      <w:r w:rsidRPr="00032DF9">
        <w:rPr>
          <w:rFonts w:ascii="Arial" w:hAnsi="Arial" w:cs="Arial"/>
          <w:sz w:val="24"/>
          <w:szCs w:val="24"/>
        </w:rPr>
        <w:t>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12 - количество месяцев;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К - коэффициент, соответствующий размеру страховых взносов, исчисляемый как 1 + (</w:t>
      </w:r>
      <w:proofErr w:type="spellStart"/>
      <w:r w:rsidRPr="00032DF9">
        <w:rPr>
          <w:rFonts w:ascii="Arial" w:hAnsi="Arial" w:cs="Arial"/>
          <w:sz w:val="24"/>
          <w:szCs w:val="24"/>
        </w:rPr>
        <w:t>К</w:t>
      </w:r>
      <w:r w:rsidRPr="00032DF9">
        <w:rPr>
          <w:rFonts w:ascii="Arial" w:hAnsi="Arial" w:cs="Arial"/>
          <w:sz w:val="24"/>
          <w:szCs w:val="24"/>
          <w:vertAlign w:val="subscript"/>
        </w:rPr>
        <w:t>стр</w:t>
      </w:r>
      <w:proofErr w:type="gramStart"/>
      <w:r w:rsidRPr="00032DF9">
        <w:rPr>
          <w:rFonts w:ascii="Arial" w:hAnsi="Arial" w:cs="Arial"/>
          <w:sz w:val="24"/>
          <w:szCs w:val="24"/>
          <w:vertAlign w:val="subscript"/>
        </w:rPr>
        <w:t>.в</w:t>
      </w:r>
      <w:proofErr w:type="gramEnd"/>
      <w:r w:rsidRPr="00032DF9">
        <w:rPr>
          <w:rFonts w:ascii="Arial" w:hAnsi="Arial" w:cs="Arial"/>
          <w:sz w:val="24"/>
          <w:szCs w:val="24"/>
          <w:vertAlign w:val="subscript"/>
        </w:rPr>
        <w:t>зн</w:t>
      </w:r>
      <w:proofErr w:type="spellEnd"/>
      <w:r w:rsidRPr="00032DF9">
        <w:rPr>
          <w:rFonts w:ascii="Arial" w:hAnsi="Arial" w:cs="Arial"/>
          <w:sz w:val="24"/>
          <w:szCs w:val="24"/>
          <w:vertAlign w:val="subscript"/>
        </w:rPr>
        <w:t>.</w:t>
      </w:r>
      <w:r w:rsidRPr="00032DF9">
        <w:rPr>
          <w:rFonts w:ascii="Arial" w:hAnsi="Arial" w:cs="Arial"/>
          <w:sz w:val="24"/>
          <w:szCs w:val="24"/>
        </w:rPr>
        <w:t xml:space="preserve"> / 100), где </w:t>
      </w:r>
      <w:proofErr w:type="spellStart"/>
      <w:r w:rsidRPr="00032DF9">
        <w:rPr>
          <w:rFonts w:ascii="Arial" w:hAnsi="Arial" w:cs="Arial"/>
          <w:sz w:val="24"/>
          <w:szCs w:val="24"/>
        </w:rPr>
        <w:t>К</w:t>
      </w:r>
      <w:r w:rsidRPr="00032DF9">
        <w:rPr>
          <w:rFonts w:ascii="Arial" w:hAnsi="Arial" w:cs="Arial"/>
          <w:sz w:val="24"/>
          <w:szCs w:val="24"/>
          <w:vertAlign w:val="subscript"/>
        </w:rPr>
        <w:t>стр.взн</w:t>
      </w:r>
      <w:proofErr w:type="spellEnd"/>
      <w:r w:rsidRPr="00032DF9">
        <w:rPr>
          <w:rFonts w:ascii="Arial" w:hAnsi="Arial" w:cs="Arial"/>
          <w:sz w:val="24"/>
          <w:szCs w:val="24"/>
          <w:vertAlign w:val="subscript"/>
        </w:rPr>
        <w:t>.</w:t>
      </w:r>
      <w:r w:rsidRPr="00032DF9">
        <w:rPr>
          <w:rFonts w:ascii="Arial" w:hAnsi="Arial" w:cs="Arial"/>
          <w:sz w:val="24"/>
          <w:szCs w:val="24"/>
        </w:rPr>
        <w:t xml:space="preserve"> - процент отчислений страховых взносов во внебюджетные фонды в соответствии со </w:t>
      </w:r>
      <w:hyperlink r:id="rId9" w:history="1">
        <w:r w:rsidRPr="00032DF9">
          <w:rPr>
            <w:rFonts w:ascii="Arial" w:hAnsi="Arial" w:cs="Arial"/>
            <w:color w:val="0000FF"/>
            <w:sz w:val="24"/>
            <w:szCs w:val="24"/>
          </w:rPr>
          <w:t>статьей 426</w:t>
        </w:r>
      </w:hyperlink>
      <w:r w:rsidRPr="00032DF9">
        <w:rPr>
          <w:rFonts w:ascii="Arial" w:hAnsi="Arial" w:cs="Arial"/>
          <w:sz w:val="24"/>
          <w:szCs w:val="24"/>
        </w:rPr>
        <w:t xml:space="preserve"> Налогового кодекса Российской Федерации.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4. Порядок предоставления и расходования субсидий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lastRenderedPageBreak/>
        <w:t>4.1. Распределение субсидий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4.2. Перечисление субсидий осуществляется комитетом на счета главных администраторов доходов бюджета в муниципальных образованиях, открытые в территориальных отделах Управления Федерального казначейства по Ленинградской области.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4.3. Перечисление субсидий осуществляется в два этапа на основе графика перечисления субсидий, установленного соглашением, в пределах суммы, необходимой для оплаты принятых денежных обязательств.</w:t>
      </w:r>
    </w:p>
    <w:p w:rsidR="00B13184" w:rsidRPr="00032DF9" w:rsidRDefault="00B13184" w:rsidP="00B1318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(</w:t>
      </w:r>
      <w:proofErr w:type="gramStart"/>
      <w:r w:rsidRPr="00032DF9">
        <w:rPr>
          <w:rFonts w:ascii="Arial" w:hAnsi="Arial" w:cs="Arial"/>
          <w:sz w:val="24"/>
          <w:szCs w:val="24"/>
        </w:rPr>
        <w:t>в</w:t>
      </w:r>
      <w:proofErr w:type="gramEnd"/>
      <w:r w:rsidRPr="00032DF9">
        <w:rPr>
          <w:rFonts w:ascii="Arial" w:hAnsi="Arial" w:cs="Arial"/>
          <w:sz w:val="24"/>
          <w:szCs w:val="24"/>
        </w:rPr>
        <w:t xml:space="preserve"> ред. </w:t>
      </w:r>
      <w:hyperlink r:id="rId10" w:history="1">
        <w:r w:rsidRPr="00032DF9">
          <w:rPr>
            <w:rFonts w:ascii="Arial" w:hAnsi="Arial" w:cs="Arial"/>
            <w:color w:val="0000FF"/>
            <w:sz w:val="24"/>
            <w:szCs w:val="24"/>
          </w:rPr>
          <w:t>Постановления</w:t>
        </w:r>
      </w:hyperlink>
      <w:r w:rsidRPr="00032DF9">
        <w:rPr>
          <w:rFonts w:ascii="Arial" w:hAnsi="Arial" w:cs="Arial"/>
          <w:sz w:val="24"/>
          <w:szCs w:val="24"/>
        </w:rPr>
        <w:t xml:space="preserve"> Правительства Ленинградской области от 29.06.2018 N 213)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4.4. Субсидии, не использованные в текущем финансовом году, подлежат возврату в областной бюджет Ленинградской области в порядке и в сроки, установленные правовым актом Комитета финансов Ленинградской области.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4.5. </w:t>
      </w:r>
      <w:proofErr w:type="gramStart"/>
      <w:r w:rsidRPr="00032DF9">
        <w:rPr>
          <w:rFonts w:ascii="Arial" w:hAnsi="Arial" w:cs="Arial"/>
          <w:sz w:val="24"/>
          <w:szCs w:val="24"/>
        </w:rPr>
        <w:t>Контроль за</w:t>
      </w:r>
      <w:proofErr w:type="gramEnd"/>
      <w:r w:rsidRPr="00032DF9">
        <w:rPr>
          <w:rFonts w:ascii="Arial" w:hAnsi="Arial" w:cs="Arial"/>
          <w:sz w:val="24"/>
          <w:szCs w:val="24"/>
        </w:rPr>
        <w:t xml:space="preserve"> соблюдением муниципальными образованиями целей, порядка и условий предоставления субсидий, а также достижения ими целевых показателей результативности осуществляется комитетом и комитетом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4.6. Средства субсидий, использованные муниципальным образованием не по целевому назначению, подлежат возврату в областной бюджет Ленинградской области в сроки, установленные комитетом </w:t>
      </w:r>
      <w:proofErr w:type="gramStart"/>
      <w:r w:rsidRPr="00032DF9">
        <w:rPr>
          <w:rFonts w:ascii="Arial" w:hAnsi="Arial" w:cs="Arial"/>
          <w:sz w:val="24"/>
          <w:szCs w:val="24"/>
        </w:rPr>
        <w:t>и(</w:t>
      </w:r>
      <w:proofErr w:type="gramEnd"/>
      <w:r w:rsidRPr="00032DF9">
        <w:rPr>
          <w:rFonts w:ascii="Arial" w:hAnsi="Arial" w:cs="Arial"/>
          <w:sz w:val="24"/>
          <w:szCs w:val="24"/>
        </w:rPr>
        <w:t>или) комитетом государственного финансового контроля Ленинградской области.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 xml:space="preserve">4.7. В </w:t>
      </w:r>
      <w:proofErr w:type="gramStart"/>
      <w:r w:rsidRPr="00032DF9">
        <w:rPr>
          <w:rFonts w:ascii="Arial" w:hAnsi="Arial" w:cs="Arial"/>
          <w:sz w:val="24"/>
          <w:szCs w:val="24"/>
        </w:rPr>
        <w:t>случае</w:t>
      </w:r>
      <w:proofErr w:type="gramEnd"/>
      <w:r w:rsidRPr="00032DF9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032DF9">
        <w:rPr>
          <w:rFonts w:ascii="Arial" w:hAnsi="Arial" w:cs="Arial"/>
          <w:sz w:val="24"/>
          <w:szCs w:val="24"/>
        </w:rPr>
        <w:t>недостижения</w:t>
      </w:r>
      <w:proofErr w:type="spellEnd"/>
      <w:r w:rsidRPr="00032DF9">
        <w:rPr>
          <w:rFonts w:ascii="Arial" w:hAnsi="Arial" w:cs="Arial"/>
          <w:sz w:val="24"/>
          <w:szCs w:val="24"/>
        </w:rPr>
        <w:t xml:space="preserve"> муниципальным образованием значений целевых показателей результативности, к нему применяются меры ответственности, предусмотренные </w:t>
      </w:r>
      <w:hyperlink r:id="rId11" w:history="1">
        <w:r w:rsidRPr="00032DF9">
          <w:rPr>
            <w:rFonts w:ascii="Arial" w:hAnsi="Arial" w:cs="Arial"/>
            <w:color w:val="0000FF"/>
            <w:sz w:val="24"/>
            <w:szCs w:val="24"/>
          </w:rPr>
          <w:t>разделом 6</w:t>
        </w:r>
      </w:hyperlink>
      <w:r w:rsidRPr="00032DF9">
        <w:rPr>
          <w:rFonts w:ascii="Arial" w:hAnsi="Arial" w:cs="Arial"/>
          <w:sz w:val="24"/>
          <w:szCs w:val="24"/>
        </w:rPr>
        <w:t xml:space="preserve"> Правил.</w:t>
      </w:r>
    </w:p>
    <w:p w:rsidR="00B13184" w:rsidRPr="00032DF9" w:rsidRDefault="00B13184" w:rsidP="00B13184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32DF9">
        <w:rPr>
          <w:rFonts w:ascii="Arial" w:hAnsi="Arial" w:cs="Arial"/>
          <w:sz w:val="24"/>
          <w:szCs w:val="24"/>
        </w:rPr>
        <w:t>4.8. Разработка показателей и критериев оценки эффективности труда работников и обеспечение предоставления стимулирующих выплат осуществляется органами местного самоуправления Ленинградской области в соответствии с Положением об оплате и стимулировании труда работников учреждения, утвержденным приказом по учреждению. Начисление стимулирующих выплат осуществляется пропорционально отработанному времени работникам списочного состава учреждений без внешних совместителей, а также работающих по договорам гражданско-правового характера.</w:t>
      </w:r>
    </w:p>
    <w:p w:rsidR="003C4D53" w:rsidRPr="00032DF9" w:rsidRDefault="00032DF9">
      <w:pPr>
        <w:rPr>
          <w:sz w:val="24"/>
          <w:szCs w:val="24"/>
        </w:rPr>
      </w:pPr>
      <w:bookmarkStart w:id="0" w:name="_GoBack"/>
      <w:bookmarkEnd w:id="0"/>
    </w:p>
    <w:sectPr w:rsidR="003C4D53" w:rsidRPr="00032DF9" w:rsidSect="00B13184">
      <w:pgSz w:w="11906" w:h="16838"/>
      <w:pgMar w:top="993" w:right="566" w:bottom="993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184"/>
    <w:rsid w:val="00032DF9"/>
    <w:rsid w:val="00947DC4"/>
    <w:rsid w:val="00B13184"/>
    <w:rsid w:val="00C3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1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31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31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8BEAAD361FB63A92AA0BC55737C89905F4825332059EDD3D247C7A753CAC73CC5B444FA0C938F17436FDDADEBCFC6D94AFB520ED808CBE0qAe4M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8BEAAD361FB63A92AA0A344667C89905E4821342A5BEDD3D247C7A753CAC73CC5B444FF0C928F181035CDA9A29BCAC64AE54D0CC60BqCe3M" TargetMode="External"/><Relationship Id="rId11" Type="http://schemas.openxmlformats.org/officeDocument/2006/relationships/hyperlink" Target="consultantplus://offline/ref=C8BEAAD361FB63A92AA0BC55737C89905F4825332059EDD3D247C7A753CAC73CC5B444FA0C938F17436FDDADEBCFC6D94AFB520ED808CBE0qAe4M" TargetMode="External"/><Relationship Id="rId5" Type="http://schemas.openxmlformats.org/officeDocument/2006/relationships/hyperlink" Target="consultantplus://offline/ref=C8BEAAD361FB63A92AA0A344667C89905E4821342A5BEDD3D247C7A753CAC73CC5B444FF0C928D181035CDA9A29BCAC64AE54D0CC60BqCe3M" TargetMode="External"/><Relationship Id="rId10" Type="http://schemas.openxmlformats.org/officeDocument/2006/relationships/hyperlink" Target="consultantplus://offline/ref=C8BEAAD361FB63A92AA0BC55737C89905F482435205BEDD3D247C7A753CAC73CC5B444FA0C92891B446FDDADEBCFC6D94AFB520ED808CBE0qAe4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8BEAAD361FB63A92AA0A344667C89905F412C33265FEDD3D247C7A753CAC73CC5B444FA09918B154F30D8B8FA97CAD955E45310C40ACAqEe9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1812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Кудрявцева Светлана Геннадьевна</cp:lastModifiedBy>
  <cp:revision>2</cp:revision>
  <cp:lastPrinted>2018-10-11T12:36:00Z</cp:lastPrinted>
  <dcterms:created xsi:type="dcterms:W3CDTF">2018-10-11T12:31:00Z</dcterms:created>
  <dcterms:modified xsi:type="dcterms:W3CDTF">2018-10-11T12:36:00Z</dcterms:modified>
</cp:coreProperties>
</file>