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="00C100AF">
        <w:t>ЕТОДИКА</w:t>
      </w:r>
      <w:bookmarkStart w:id="0" w:name="_GoBack"/>
      <w:bookmarkEnd w:id="0"/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BB731B" w:rsidRPr="00BB731B">
        <w:t>в сфере профилактики безнадзорности и правонарушений несовершеннолетних</w:t>
      </w:r>
    </w:p>
    <w:p w:rsidR="004539D3" w:rsidRPr="004539D3" w:rsidRDefault="004539D3" w:rsidP="004539D3">
      <w:pPr>
        <w:pStyle w:val="ConsPlusNormal"/>
        <w:jc w:val="both"/>
        <w:outlineLvl w:val="0"/>
      </w:pP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Размер субвенций на осуществление отдельных государственных полномочий на один финансовый год в расчете на одно муниципальное образование рассчитывается по следующей формуле: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Нi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= (Ф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+ Ф2 x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) + (1 +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>) x k,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где: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размер субвенций на осуществление отдельных государственных полномочий в i-м муниципальном образовании;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годовой фонд оплаты труда ответственного секретаря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годовой фонд оплаты труда работника комиссии в должности ведущего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- количество ведущих специалистов в составе комиссии в i-м муниципальном образовании из расчета: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731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731B">
        <w:rPr>
          <w:rFonts w:ascii="Times New Roman" w:hAnsi="Times New Roman" w:cs="Times New Roman"/>
          <w:sz w:val="28"/>
          <w:szCs w:val="28"/>
        </w:rPr>
        <w:t>Бокситогорском</w:t>
      </w:r>
      <w:proofErr w:type="gram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Волосовском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Киришском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Кировском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Лодейнопольском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Ломоносовском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Подпорожском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Приозерском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Сланцевском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Всеволожском городском поселении, Светогорском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Сертоловском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Никольском городском поселении и городских округах - один ведущий специалист (Т = 1);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Лужском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Тихвинском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Кингисеппском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Тосненском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 - два ведущих специалиста (Т = 2);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Волховском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муниципальном районе - три ведущих специалиста (Т = 3);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 xml:space="preserve">в Выборгском муниципальном районе - четыре ведущих специалиста </w:t>
      </w:r>
      <w:r w:rsidR="00C100AF">
        <w:rPr>
          <w:rFonts w:ascii="Times New Roman" w:hAnsi="Times New Roman" w:cs="Times New Roman"/>
          <w:sz w:val="28"/>
          <w:szCs w:val="28"/>
        </w:rPr>
        <w:br/>
      </w:r>
      <w:r w:rsidRPr="00BB731B">
        <w:rPr>
          <w:rFonts w:ascii="Times New Roman" w:hAnsi="Times New Roman" w:cs="Times New Roman"/>
          <w:sz w:val="28"/>
          <w:szCs w:val="28"/>
        </w:rPr>
        <w:t xml:space="preserve">(Т = 4), во Всеволожском муниципальном районе - пять ведущих специалистов (Т = 5), в Гатчинском муниципальном районе - семь ведущих специалистов </w:t>
      </w:r>
      <w:r w:rsidR="00C100AF">
        <w:rPr>
          <w:rFonts w:ascii="Times New Roman" w:hAnsi="Times New Roman" w:cs="Times New Roman"/>
          <w:sz w:val="28"/>
          <w:szCs w:val="28"/>
        </w:rPr>
        <w:br/>
      </w:r>
      <w:r w:rsidRPr="00BB731B">
        <w:rPr>
          <w:rFonts w:ascii="Times New Roman" w:hAnsi="Times New Roman" w:cs="Times New Roman"/>
          <w:sz w:val="28"/>
          <w:szCs w:val="28"/>
        </w:rPr>
        <w:t>(Т = 7);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lastRenderedPageBreak/>
        <w:t xml:space="preserve">в Высоцком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Ивангородском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Коммунаровском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Любанском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Новоладожском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Отрадненском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</w:t>
      </w:r>
      <w:proofErr w:type="spellStart"/>
      <w:r w:rsidRPr="00BB731B">
        <w:rPr>
          <w:rFonts w:ascii="Times New Roman" w:hAnsi="Times New Roman" w:cs="Times New Roman"/>
          <w:sz w:val="28"/>
          <w:szCs w:val="28"/>
        </w:rPr>
        <w:t>Пикалевском</w:t>
      </w:r>
      <w:proofErr w:type="spellEnd"/>
      <w:r w:rsidRPr="00BB731B">
        <w:rPr>
          <w:rFonts w:ascii="Times New Roman" w:hAnsi="Times New Roman" w:cs="Times New Roman"/>
          <w:sz w:val="28"/>
          <w:szCs w:val="28"/>
        </w:rPr>
        <w:t xml:space="preserve"> городском поселении, Приморском городском поселении, Шлиссельбургском городском поселении - нет ведущих специалистов (Т = 0);</w:t>
      </w:r>
    </w:p>
    <w:p w:rsidR="00BB731B" w:rsidRPr="00BB731B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31B">
        <w:rPr>
          <w:rFonts w:ascii="Times New Roman" w:hAnsi="Times New Roman" w:cs="Times New Roman"/>
          <w:sz w:val="28"/>
          <w:szCs w:val="28"/>
        </w:rPr>
        <w:t>k - норматив текущих расходов (за исключением заработной платы с начислениями) на одного штатного работника комиссии, необходимых для обеспечения деятельности комиссии, равный 25195 рублям.</w:t>
      </w:r>
    </w:p>
    <w:p w:rsidR="004539D3" w:rsidRPr="004539D3" w:rsidRDefault="004539D3" w:rsidP="004539D3">
      <w:pPr>
        <w:pStyle w:val="ConsPlusNormal"/>
        <w:ind w:firstLine="540"/>
        <w:jc w:val="both"/>
        <w:rPr>
          <w:b w:val="0"/>
        </w:rPr>
      </w:pPr>
    </w:p>
    <w:p w:rsidR="000F347C" w:rsidRDefault="000F347C"/>
    <w:sectPr w:rsidR="000F347C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F347C"/>
    <w:rsid w:val="004539D3"/>
    <w:rsid w:val="00B7240B"/>
    <w:rsid w:val="00BB731B"/>
    <w:rsid w:val="00C1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2018-08-29T10:38:00Z</dcterms:created>
  <dcterms:modified xsi:type="dcterms:W3CDTF">2018-08-29T10:38:00Z</dcterms:modified>
</cp:coreProperties>
</file>