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318" w:rsidRPr="00212D5B" w:rsidRDefault="00CE2318" w:rsidP="00CE2318">
      <w:pPr>
        <w:pStyle w:val="a3"/>
        <w:jc w:val="center"/>
        <w:rPr>
          <w:b/>
        </w:rPr>
      </w:pPr>
      <w:r w:rsidRPr="00212D5B">
        <w:rPr>
          <w:b/>
        </w:rPr>
        <w:t>ПОЯСНИТЕЛЬНАЯ ЗАПИСКА</w:t>
      </w:r>
    </w:p>
    <w:p w:rsidR="00CE2318" w:rsidRPr="00CE2318" w:rsidRDefault="00CE2318" w:rsidP="00CE2318">
      <w:pPr>
        <w:pStyle w:val="a3"/>
        <w:spacing w:line="240" w:lineRule="auto"/>
        <w:jc w:val="center"/>
        <w:rPr>
          <w:rFonts w:eastAsia="Calibri"/>
          <w:b/>
          <w:bCs/>
          <w:sz w:val="32"/>
          <w:szCs w:val="32"/>
        </w:rPr>
      </w:pPr>
      <w:r w:rsidRPr="00CE2318">
        <w:rPr>
          <w:rFonts w:eastAsia="Calibri"/>
          <w:b/>
          <w:bCs/>
          <w:sz w:val="32"/>
          <w:szCs w:val="32"/>
        </w:rPr>
        <w:t xml:space="preserve">к проекту федерального закона </w:t>
      </w:r>
      <w:r>
        <w:rPr>
          <w:rFonts w:eastAsia="Calibri"/>
          <w:b/>
          <w:bCs/>
          <w:sz w:val="32"/>
          <w:szCs w:val="32"/>
        </w:rPr>
        <w:t>«</w:t>
      </w:r>
      <w:r w:rsidRPr="00CE2318">
        <w:rPr>
          <w:rFonts w:eastAsia="Calibri"/>
          <w:b/>
          <w:bCs/>
          <w:sz w:val="32"/>
          <w:szCs w:val="32"/>
        </w:rPr>
        <w:t>О внесении изменений</w:t>
      </w:r>
    </w:p>
    <w:p w:rsidR="00CE2318" w:rsidRDefault="00CE2318" w:rsidP="00CE231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CE231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в статьи 5 и 25.8 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части первой Налогового кодекса Российской Федерации»</w:t>
      </w:r>
    </w:p>
    <w:p w:rsidR="00CE2318" w:rsidRDefault="00CE2318" w:rsidP="00CE231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C3348" w:rsidRDefault="003C3348" w:rsidP="003C334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18">
        <w:rPr>
          <w:rFonts w:ascii="Times New Roman" w:hAnsi="Times New Roman" w:cs="Times New Roman"/>
          <w:sz w:val="28"/>
          <w:szCs w:val="28"/>
        </w:rPr>
        <w:t>С 1 января 2017 года Налоговым кодексом Российской Федерации введена заявительная возможность применения налоговых льгот в течение 10 лет по налогу на добычу полезных ископаемых налогоплательщиками – участниками региональных инвестиционных проектов, для которых не требуется включения в реестр участников региональных инвестиционных проектов, при условии осуществления капитальных вложений в объеме не менее 50 млн. рублей в течение трех лет или 500 млн</w:t>
      </w:r>
      <w:proofErr w:type="gramEnd"/>
      <w:r w:rsidRPr="00CE2318">
        <w:rPr>
          <w:rFonts w:ascii="Times New Roman" w:hAnsi="Times New Roman" w:cs="Times New Roman"/>
          <w:sz w:val="28"/>
          <w:szCs w:val="28"/>
        </w:rPr>
        <w:t>. рублей в течение пяти лет.</w:t>
      </w:r>
    </w:p>
    <w:p w:rsidR="003C3348" w:rsidRPr="00CE2318" w:rsidRDefault="003C3348" w:rsidP="003C334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налоговых льгот по налогу на добычу полезных ископаемых участниками региональных инвестиционных проектов приводит к возникновению выпадающих доходов субъектов Российской Федерации, компенсация которых не предусмотрена.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Традиционно основой экономики Чукотского автономного округа являлась добыча полезных ископаемых. В целях эффективного использования минерально-сырьевого потенциала округа была принята долгосрочная стратегия развития Чукотского автономного округа, базирующаяся на комплексном развитии  двух зон опережающего развития: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318">
        <w:rPr>
          <w:rFonts w:ascii="Times New Roman" w:hAnsi="Times New Roman" w:cs="Times New Roman"/>
          <w:sz w:val="28"/>
          <w:szCs w:val="28"/>
        </w:rPr>
        <w:t>Чаун-Билибинская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промышленная зона включает разработку цветных металлов (золото, серебро, медь, олово, вольфрам);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>Анадырская  промышленная зона – добычу угля, нефти, газа.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К настоящему времени завершена реализация первого этапа стратегии. В экономику округа привлечены крупнейшие участники российского и мирового рынка золота –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Kinross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Gold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Corporation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, Полиметалл, Базовые металлы,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Highland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Gold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 LTD, Полюс-Золото и другие. Вовлечены в </w:t>
      </w:r>
      <w:r w:rsidRPr="00CE2318">
        <w:rPr>
          <w:rFonts w:ascii="Times New Roman" w:hAnsi="Times New Roman" w:cs="Times New Roman"/>
          <w:sz w:val="28"/>
          <w:szCs w:val="28"/>
        </w:rPr>
        <w:lastRenderedPageBreak/>
        <w:t>промышленный оборот золоторудные месторождения «Майское», «Купол», «Двойное», «</w:t>
      </w:r>
      <w:proofErr w:type="spellStart"/>
      <w:r w:rsidRPr="00CE2318">
        <w:rPr>
          <w:rFonts w:ascii="Times New Roman" w:hAnsi="Times New Roman" w:cs="Times New Roman"/>
          <w:sz w:val="28"/>
          <w:szCs w:val="28"/>
        </w:rPr>
        <w:t>Каральвеем</w:t>
      </w:r>
      <w:proofErr w:type="spellEnd"/>
      <w:r w:rsidRPr="00CE2318">
        <w:rPr>
          <w:rFonts w:ascii="Times New Roman" w:hAnsi="Times New Roman" w:cs="Times New Roman"/>
          <w:sz w:val="28"/>
          <w:szCs w:val="28"/>
        </w:rPr>
        <w:t xml:space="preserve">» и «Валунистый».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Золотодобыча стала определяющей в экономике региона - по итогам 2016 года доля добычи полезных ископаемых в валовом региональном продукте округа превысила 50%. В промышленном производстве данная сфера обеспечивает около 90% от общего объема промышленного производства. 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Поступления в консолидированный бюджет Чукотского автономного округа от крупных золотодобывающих предприятий, в основном за счет налога на прибыль организаций и налога на добычу полезных ископаемых, составляют более 50% объема собственных доходов региона. 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В 2017 году крупнейший налогоплательщик Чукотского автономного округа ООО «Северное золото», осуществляющий добычу рудного золота, заявил налоговую льготу по инвестиционному проекту, реализация которого была начата в 2010 году. Объем выпадающих доходов консолидированного бюджета Российской Федерации составил 574,4 млн. рублей. В 2017 году возвращено налогоплательщику 418,7 млн. рублей уплаченного налога, в том числе из окружного бюджета 251,2 млн. рублей. Оставшаяся сумма налога возвращена налогоплательщику в 2018 году.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>До 2021 года – в период реализации инвестиционного проекта, объем льгот оценивается в сумме более 2,6 млрд. рублей, в том числе бюджета округа более 1,6 млрд. рублей.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Заявительный характер указанных льгот не позволяет при планировании бюджета определить объем выпадающих доходов и ставит под угрозу исполнение региональных бюджетов. В случае обращения в налоговый орган всех налогоплательщиков, занимающихся добычей рудного золота в округе, ежегодные выпадающие доходы бюджета региона могут составить до 2 млрд. рублей (около 70% всего налога). Источники </w:t>
      </w:r>
      <w:proofErr w:type="gramStart"/>
      <w:r w:rsidRPr="00CE2318">
        <w:rPr>
          <w:rFonts w:ascii="Times New Roman" w:hAnsi="Times New Roman" w:cs="Times New Roman"/>
          <w:sz w:val="28"/>
          <w:szCs w:val="28"/>
        </w:rPr>
        <w:lastRenderedPageBreak/>
        <w:t>компенсации выпадающих доходов бюджетов субъектов Российской Федерации</w:t>
      </w:r>
      <w:proofErr w:type="gramEnd"/>
      <w:r w:rsidRPr="00CE2318">
        <w:rPr>
          <w:rFonts w:ascii="Times New Roman" w:hAnsi="Times New Roman" w:cs="Times New Roman"/>
          <w:sz w:val="28"/>
          <w:szCs w:val="28"/>
        </w:rPr>
        <w:t xml:space="preserve"> на федеральном уровне не определены, что негативно влияет на сбалансированность региональных бюджетов.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CE2318">
        <w:rPr>
          <w:rFonts w:ascii="Times New Roman" w:hAnsi="Times New Roman" w:cs="Times New Roman"/>
          <w:sz w:val="28"/>
          <w:szCs w:val="28"/>
        </w:rPr>
        <w:t>вышеизложенное</w:t>
      </w:r>
      <w:proofErr w:type="gramEnd"/>
      <w:r w:rsidRPr="00CE2318">
        <w:rPr>
          <w:rFonts w:ascii="Times New Roman" w:hAnsi="Times New Roman" w:cs="Times New Roman"/>
          <w:sz w:val="28"/>
          <w:szCs w:val="28"/>
        </w:rPr>
        <w:t xml:space="preserve">, предлагаем исключить из сферы действия положений Налогового кодекса Российской Федерации, устанавливающих налоговые льготы для региональных инвестиционных проектов, проекты, направленные на добычу </w:t>
      </w:r>
      <w:r w:rsidR="0069687B">
        <w:rPr>
          <w:rFonts w:ascii="Times New Roman" w:hAnsi="Times New Roman" w:cs="Times New Roman"/>
          <w:sz w:val="28"/>
          <w:szCs w:val="28"/>
        </w:rPr>
        <w:t>драгоценных металлов</w:t>
      </w:r>
      <w:r w:rsidRPr="00CE2318">
        <w:rPr>
          <w:rFonts w:ascii="Times New Roman" w:hAnsi="Times New Roman" w:cs="Times New Roman"/>
          <w:sz w:val="28"/>
          <w:szCs w:val="28"/>
        </w:rPr>
        <w:t>, извлекаем</w:t>
      </w:r>
      <w:r w:rsidR="0069687B">
        <w:rPr>
          <w:rFonts w:ascii="Times New Roman" w:hAnsi="Times New Roman" w:cs="Times New Roman"/>
          <w:sz w:val="28"/>
          <w:szCs w:val="28"/>
        </w:rPr>
        <w:t>ых</w:t>
      </w:r>
      <w:r w:rsidRPr="00CE2318">
        <w:rPr>
          <w:rFonts w:ascii="Times New Roman" w:hAnsi="Times New Roman" w:cs="Times New Roman"/>
          <w:sz w:val="28"/>
          <w:szCs w:val="28"/>
        </w:rPr>
        <w:t xml:space="preserve"> из коренных (рудных) месторождений</w:t>
      </w:r>
      <w:r w:rsidR="0069687B">
        <w:rPr>
          <w:rFonts w:ascii="Times New Roman" w:hAnsi="Times New Roman" w:cs="Times New Roman"/>
          <w:sz w:val="28"/>
          <w:szCs w:val="28"/>
        </w:rPr>
        <w:t xml:space="preserve"> и (или) последующую их первичную переработку</w:t>
      </w:r>
      <w:r w:rsidR="00BE5F3E">
        <w:rPr>
          <w:rFonts w:ascii="Times New Roman" w:hAnsi="Times New Roman" w:cs="Times New Roman"/>
          <w:sz w:val="28"/>
          <w:szCs w:val="28"/>
        </w:rPr>
        <w:t>, с получением концентратов и других полупродуктов, содержащих драгоценные металлы</w:t>
      </w:r>
      <w:r w:rsidRPr="00CE2318">
        <w:rPr>
          <w:rFonts w:ascii="Times New Roman" w:hAnsi="Times New Roman" w:cs="Times New Roman"/>
          <w:sz w:val="28"/>
          <w:szCs w:val="28"/>
        </w:rPr>
        <w:t xml:space="preserve">, изначально являющиеся высокорентабельными. </w:t>
      </w:r>
    </w:p>
    <w:p w:rsidR="00CE2318" w:rsidRPr="00CE2318" w:rsidRDefault="00CE2318" w:rsidP="00CE231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318">
        <w:rPr>
          <w:rFonts w:ascii="Times New Roman" w:hAnsi="Times New Roman" w:cs="Times New Roman"/>
          <w:sz w:val="28"/>
          <w:szCs w:val="28"/>
        </w:rPr>
        <w:t xml:space="preserve">При этом, учитывая фактическое предоставление на текущую дату отдельным участникам региональных инвестиционных проектов, занимающихся добычей </w:t>
      </w:r>
      <w:r w:rsidR="00BE5F3E">
        <w:rPr>
          <w:rFonts w:ascii="Times New Roman" w:hAnsi="Times New Roman" w:cs="Times New Roman"/>
          <w:sz w:val="28"/>
          <w:szCs w:val="28"/>
        </w:rPr>
        <w:t>драгоценных металлов</w:t>
      </w:r>
      <w:r w:rsidRPr="00CE2318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CE2318">
        <w:rPr>
          <w:rFonts w:ascii="Times New Roman" w:hAnsi="Times New Roman" w:cs="Times New Roman"/>
          <w:sz w:val="28"/>
          <w:szCs w:val="28"/>
        </w:rPr>
        <w:t>налоговых льгот, предлагается сохранить для таких участников период действия данных преференций.</w:t>
      </w:r>
      <w:r w:rsidRPr="00CE2318">
        <w:rPr>
          <w:rFonts w:ascii="Times New Roman" w:hAnsi="Times New Roman" w:cs="Times New Roman"/>
          <w:sz w:val="28"/>
          <w:szCs w:val="28"/>
        </w:rPr>
        <w:cr/>
      </w:r>
    </w:p>
    <w:p w:rsidR="00CE2318" w:rsidRPr="00CE2318" w:rsidRDefault="00CE2318" w:rsidP="00CE231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</w:rPr>
      </w:pPr>
      <w:r w:rsidRPr="00CE2318">
        <w:rPr>
          <w:rFonts w:ascii="Times New Roman" w:hAnsi="Times New Roman" w:cs="Times New Roman"/>
          <w:b/>
        </w:rPr>
        <w:t xml:space="preserve"> </w:t>
      </w:r>
    </w:p>
    <w:p w:rsidR="00627AA9" w:rsidRPr="00CE2318" w:rsidRDefault="00627AA9">
      <w:pPr>
        <w:rPr>
          <w:rFonts w:ascii="Times New Roman" w:hAnsi="Times New Roman" w:cs="Times New Roman"/>
        </w:rPr>
      </w:pPr>
    </w:p>
    <w:sectPr w:rsidR="00627AA9" w:rsidRPr="00CE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92"/>
    <w:rsid w:val="003C3348"/>
    <w:rsid w:val="005E26E2"/>
    <w:rsid w:val="00627AA9"/>
    <w:rsid w:val="00672DE4"/>
    <w:rsid w:val="0069687B"/>
    <w:rsid w:val="007D5DBC"/>
    <w:rsid w:val="00800CF5"/>
    <w:rsid w:val="00856192"/>
    <w:rsid w:val="00945A1F"/>
    <w:rsid w:val="00BE5F3E"/>
    <w:rsid w:val="00C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к.инициатива"/>
    <w:basedOn w:val="a"/>
    <w:link w:val="a4"/>
    <w:qFormat/>
    <w:rsid w:val="00CE2318"/>
    <w:pPr>
      <w:autoSpaceDE w:val="0"/>
      <w:autoSpaceDN w:val="0"/>
      <w:adjustRightInd w:val="0"/>
      <w:spacing w:after="0" w:line="360" w:lineRule="auto"/>
      <w:ind w:firstLine="53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Зак.инициатива Знак"/>
    <w:basedOn w:val="a0"/>
    <w:link w:val="a3"/>
    <w:rsid w:val="00CE2318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к.инициатива"/>
    <w:basedOn w:val="a"/>
    <w:link w:val="a4"/>
    <w:qFormat/>
    <w:rsid w:val="00CE2318"/>
    <w:pPr>
      <w:autoSpaceDE w:val="0"/>
      <w:autoSpaceDN w:val="0"/>
      <w:adjustRightInd w:val="0"/>
      <w:spacing w:after="0" w:line="360" w:lineRule="auto"/>
      <w:ind w:firstLine="53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Зак.инициатива Знак"/>
    <w:basedOn w:val="a0"/>
    <w:link w:val="a3"/>
    <w:rsid w:val="00CE2318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Алина Арамаисовна</dc:creator>
  <cp:keywords/>
  <dc:description/>
  <cp:lastModifiedBy>Николаева Алина Арамаисовна</cp:lastModifiedBy>
  <cp:revision>8</cp:revision>
  <dcterms:created xsi:type="dcterms:W3CDTF">2018-04-12T03:05:00Z</dcterms:created>
  <dcterms:modified xsi:type="dcterms:W3CDTF">2018-04-12T05:44:00Z</dcterms:modified>
</cp:coreProperties>
</file>